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659" w:rsidRPr="002B40FC" w:rsidRDefault="00857659" w:rsidP="00D821F2">
      <w:pPr>
        <w:spacing w:after="0" w:line="360" w:lineRule="auto"/>
        <w:jc w:val="center"/>
        <w:rPr>
          <w:rFonts w:ascii="Times New Roman" w:hAnsi="Times New Roman"/>
          <w:b/>
          <w:sz w:val="24"/>
          <w:szCs w:val="24"/>
        </w:rPr>
      </w:pPr>
      <w:r w:rsidRPr="002B40FC">
        <w:rPr>
          <w:rFonts w:ascii="Times New Roman" w:hAnsi="Times New Roman"/>
          <w:b/>
          <w:sz w:val="24"/>
          <w:szCs w:val="24"/>
        </w:rPr>
        <w:t>ESTABELECIMENTO IN VITRO DE PAU-DE-BALSA SOBRE DIFERENTES CONCENTRAÇÕES DE MEIO MS E SACAROSE</w:t>
      </w:r>
    </w:p>
    <w:p w:rsidR="00F12F02" w:rsidRPr="002B40FC" w:rsidRDefault="00F12F02" w:rsidP="00D821F2">
      <w:pPr>
        <w:spacing w:after="0" w:line="360" w:lineRule="auto"/>
        <w:jc w:val="center"/>
        <w:rPr>
          <w:rFonts w:ascii="Times New Roman" w:hAnsi="Times New Roman"/>
          <w:b/>
          <w:sz w:val="24"/>
          <w:szCs w:val="24"/>
        </w:rPr>
      </w:pPr>
    </w:p>
    <w:p w:rsidR="00DD0F2F" w:rsidRDefault="006240EE" w:rsidP="00D821F2">
      <w:pPr>
        <w:pStyle w:val="Rodap"/>
        <w:spacing w:after="0" w:line="360" w:lineRule="auto"/>
        <w:jc w:val="center"/>
        <w:rPr>
          <w:rFonts w:ascii="Times New Roman" w:hAnsi="Times New Roman"/>
          <w:b/>
          <w:sz w:val="24"/>
          <w:szCs w:val="24"/>
          <w:lang w:val="pt-BR"/>
        </w:rPr>
      </w:pPr>
      <w:r w:rsidRPr="002B40FC">
        <w:rPr>
          <w:rFonts w:ascii="Times New Roman" w:hAnsi="Times New Roman"/>
          <w:b/>
          <w:sz w:val="24"/>
          <w:szCs w:val="24"/>
          <w:lang w:val="pt-BR"/>
        </w:rPr>
        <w:t xml:space="preserve">THE </w:t>
      </w:r>
      <w:r w:rsidR="00DD0F2F">
        <w:rPr>
          <w:rFonts w:ascii="Times New Roman" w:hAnsi="Times New Roman"/>
          <w:b/>
          <w:sz w:val="24"/>
          <w:szCs w:val="24"/>
          <w:lang w:val="pt-BR"/>
        </w:rPr>
        <w:t>DEVELOPMENT OF PAU-DE-BALSA IN VITRO UNDER DIFFERENT CONCENTRATIONS OF MS AND SUCROSE</w:t>
      </w:r>
    </w:p>
    <w:p w:rsidR="00DC3105" w:rsidRPr="002B40FC" w:rsidRDefault="00DD0F2F" w:rsidP="00460133">
      <w:pPr>
        <w:pStyle w:val="Rodap"/>
        <w:tabs>
          <w:tab w:val="left" w:pos="4780"/>
        </w:tabs>
        <w:spacing w:after="0" w:line="360" w:lineRule="auto"/>
        <w:jc w:val="both"/>
        <w:rPr>
          <w:rFonts w:ascii="Times New Roman" w:hAnsi="Times New Roman"/>
          <w:sz w:val="24"/>
          <w:szCs w:val="24"/>
        </w:rPr>
      </w:pPr>
      <w:r>
        <w:rPr>
          <w:rFonts w:ascii="Times New Roman" w:hAnsi="Times New Roman"/>
          <w:b/>
          <w:sz w:val="24"/>
          <w:szCs w:val="24"/>
          <w:lang w:val="pt-BR"/>
        </w:rPr>
        <w:t xml:space="preserve"> </w:t>
      </w:r>
      <w:r w:rsidR="002B40FC">
        <w:rPr>
          <w:rFonts w:ascii="Times New Roman" w:hAnsi="Times New Roman"/>
          <w:b/>
          <w:sz w:val="24"/>
          <w:szCs w:val="24"/>
          <w:lang w:val="pt-BR"/>
        </w:rPr>
        <w:tab/>
      </w:r>
      <w:r w:rsidR="00460133">
        <w:rPr>
          <w:rFonts w:ascii="Times New Roman" w:hAnsi="Times New Roman"/>
          <w:b/>
          <w:sz w:val="24"/>
          <w:szCs w:val="24"/>
          <w:lang w:val="pt-BR"/>
        </w:rPr>
        <w:tab/>
      </w:r>
    </w:p>
    <w:p w:rsidR="00FF671D" w:rsidRPr="002B40FC" w:rsidRDefault="0024369A" w:rsidP="00460133">
      <w:pPr>
        <w:spacing w:after="0" w:line="360" w:lineRule="auto"/>
        <w:jc w:val="both"/>
        <w:rPr>
          <w:rFonts w:ascii="Times New Roman" w:eastAsia="Arial" w:hAnsi="Times New Roman"/>
          <w:sz w:val="24"/>
          <w:szCs w:val="24"/>
        </w:rPr>
      </w:pPr>
      <w:r w:rsidRPr="002B40FC">
        <w:rPr>
          <w:rFonts w:ascii="Times New Roman" w:hAnsi="Times New Roman"/>
          <w:b/>
          <w:sz w:val="24"/>
          <w:szCs w:val="24"/>
        </w:rPr>
        <w:t>RESUMO</w:t>
      </w:r>
      <w:r w:rsidR="00857659" w:rsidRPr="002B40FC">
        <w:rPr>
          <w:rFonts w:ascii="Times New Roman" w:hAnsi="Times New Roman"/>
          <w:b/>
          <w:sz w:val="24"/>
          <w:szCs w:val="24"/>
        </w:rPr>
        <w:t xml:space="preserve">: </w:t>
      </w:r>
      <w:r w:rsidR="00F119B0" w:rsidRPr="002B40FC">
        <w:rPr>
          <w:rFonts w:ascii="Times New Roman" w:hAnsi="Times New Roman"/>
          <w:color w:val="000000"/>
          <w:sz w:val="24"/>
          <w:szCs w:val="24"/>
        </w:rPr>
        <w:t>A propagação das sementes de pau-de-balsa é limitada, po</w:t>
      </w:r>
      <w:r w:rsidR="008D2806" w:rsidRPr="002B40FC">
        <w:rPr>
          <w:rFonts w:ascii="Times New Roman" w:hAnsi="Times New Roman"/>
          <w:color w:val="000000"/>
          <w:sz w:val="24"/>
          <w:szCs w:val="24"/>
        </w:rPr>
        <w:t>is,</w:t>
      </w:r>
      <w:r w:rsidR="00F119B0" w:rsidRPr="002B40FC">
        <w:rPr>
          <w:rFonts w:ascii="Times New Roman" w:hAnsi="Times New Roman"/>
          <w:color w:val="000000"/>
          <w:sz w:val="24"/>
          <w:szCs w:val="24"/>
        </w:rPr>
        <w:t xml:space="preserve"> possui dormência tegumentar e baixa taxa de germinação natural. Uma alternativa viável para ess</w:t>
      </w:r>
      <w:r w:rsidR="008D2806" w:rsidRPr="002B40FC">
        <w:rPr>
          <w:rFonts w:ascii="Times New Roman" w:hAnsi="Times New Roman"/>
          <w:color w:val="000000"/>
          <w:sz w:val="24"/>
          <w:szCs w:val="24"/>
        </w:rPr>
        <w:t>a</w:t>
      </w:r>
      <w:r w:rsidR="00EA338A" w:rsidRPr="002B40FC">
        <w:rPr>
          <w:rFonts w:ascii="Times New Roman" w:hAnsi="Times New Roman"/>
          <w:color w:val="000000"/>
          <w:sz w:val="24"/>
          <w:szCs w:val="24"/>
        </w:rPr>
        <w:t>s</w:t>
      </w:r>
      <w:r w:rsidR="00F119B0" w:rsidRPr="002B40FC">
        <w:rPr>
          <w:rFonts w:ascii="Times New Roman" w:hAnsi="Times New Roman"/>
          <w:color w:val="000000"/>
          <w:sz w:val="24"/>
          <w:szCs w:val="24"/>
        </w:rPr>
        <w:t xml:space="preserve"> </w:t>
      </w:r>
      <w:r w:rsidR="008D2806" w:rsidRPr="002B40FC">
        <w:rPr>
          <w:rFonts w:ascii="Times New Roman" w:hAnsi="Times New Roman"/>
          <w:color w:val="000000"/>
          <w:sz w:val="24"/>
          <w:szCs w:val="24"/>
        </w:rPr>
        <w:t>limitações</w:t>
      </w:r>
      <w:r w:rsidR="00F119B0" w:rsidRPr="002B40FC">
        <w:rPr>
          <w:rFonts w:ascii="Times New Roman" w:hAnsi="Times New Roman"/>
          <w:color w:val="000000"/>
          <w:sz w:val="24"/>
          <w:szCs w:val="24"/>
        </w:rPr>
        <w:t xml:space="preserve">, é a micropropagação. Essa técnica visa a produção de mudas em larga escala, com qualidade superior, em curto período e espaço reduzido. </w:t>
      </w:r>
      <w:r w:rsidR="00CB2D28" w:rsidRPr="002B40FC">
        <w:rPr>
          <w:rFonts w:ascii="Times New Roman" w:hAnsi="Times New Roman"/>
          <w:color w:val="000000"/>
          <w:sz w:val="24"/>
          <w:szCs w:val="24"/>
        </w:rPr>
        <w:t>Dessa forma</w:t>
      </w:r>
      <w:r w:rsidR="00F119B0" w:rsidRPr="002B40FC">
        <w:rPr>
          <w:rFonts w:ascii="Times New Roman" w:hAnsi="Times New Roman"/>
          <w:color w:val="000000"/>
          <w:sz w:val="24"/>
          <w:szCs w:val="24"/>
        </w:rPr>
        <w:t xml:space="preserve">, o trabalho teve como objetivo avaliar o efeito das diferentes concentrações de meio MS e sacarose, no estabelecimento </w:t>
      </w:r>
      <w:r w:rsidR="00F119B0" w:rsidRPr="002B40FC">
        <w:rPr>
          <w:rFonts w:ascii="Times New Roman" w:hAnsi="Times New Roman"/>
          <w:i/>
          <w:iCs/>
          <w:color w:val="000000"/>
          <w:sz w:val="24"/>
          <w:szCs w:val="24"/>
        </w:rPr>
        <w:t xml:space="preserve">in vitro </w:t>
      </w:r>
      <w:r w:rsidR="00F119B0" w:rsidRPr="002B40FC">
        <w:rPr>
          <w:rFonts w:ascii="Times New Roman" w:hAnsi="Times New Roman"/>
          <w:color w:val="000000"/>
          <w:sz w:val="24"/>
          <w:szCs w:val="24"/>
        </w:rPr>
        <w:t>de sementes pau-de-balsa. O experimento foi conduzido em delineamento inteiramente casualizado, em esquema fatorial 2x4, duas concentrações de meio MS (50 e 100%) e quatro de sacarose (0, 15, 20 e 25 g.L</w:t>
      </w:r>
      <w:r w:rsidR="00F119B0" w:rsidRPr="002B40FC">
        <w:rPr>
          <w:rFonts w:ascii="Times New Roman" w:hAnsi="Times New Roman"/>
          <w:color w:val="000000"/>
          <w:sz w:val="24"/>
          <w:szCs w:val="24"/>
          <w:vertAlign w:val="superscript"/>
        </w:rPr>
        <w:t>-1</w:t>
      </w:r>
      <w:r w:rsidR="00F119B0" w:rsidRPr="002B40FC">
        <w:rPr>
          <w:rFonts w:ascii="Times New Roman" w:hAnsi="Times New Roman"/>
          <w:color w:val="000000"/>
          <w:sz w:val="24"/>
          <w:szCs w:val="24"/>
        </w:rPr>
        <w:t xml:space="preserve">), totalizando 8 tratamentos com 15 repetições e em cada repetição 3 indivíduos, totalizando assim, 360 indivíduos. Observou-se a influência da concentração do meio MS e sacarose no estabelecimento </w:t>
      </w:r>
      <w:r w:rsidR="00F119B0" w:rsidRPr="002B40FC">
        <w:rPr>
          <w:rFonts w:ascii="Times New Roman" w:hAnsi="Times New Roman"/>
          <w:i/>
          <w:iCs/>
          <w:color w:val="000000"/>
          <w:sz w:val="24"/>
          <w:szCs w:val="24"/>
        </w:rPr>
        <w:t xml:space="preserve">in vitro </w:t>
      </w:r>
      <w:r w:rsidR="00F119B0" w:rsidRPr="002B40FC">
        <w:rPr>
          <w:rFonts w:ascii="Times New Roman" w:hAnsi="Times New Roman"/>
          <w:color w:val="000000"/>
          <w:sz w:val="24"/>
          <w:szCs w:val="24"/>
        </w:rPr>
        <w:t>da espécie em estudo</w:t>
      </w:r>
      <w:r w:rsidR="00EA338A" w:rsidRPr="002B40FC">
        <w:rPr>
          <w:rFonts w:ascii="Times New Roman" w:hAnsi="Times New Roman"/>
          <w:iCs/>
          <w:color w:val="000000"/>
          <w:sz w:val="24"/>
          <w:szCs w:val="24"/>
        </w:rPr>
        <w:t>, onde</w:t>
      </w:r>
      <w:r w:rsidR="00F119B0" w:rsidRPr="002B40FC">
        <w:rPr>
          <w:rFonts w:ascii="Times New Roman" w:hAnsi="Times New Roman"/>
          <w:i/>
          <w:iCs/>
          <w:color w:val="000000"/>
          <w:sz w:val="24"/>
          <w:szCs w:val="24"/>
        </w:rPr>
        <w:t xml:space="preserve"> </w:t>
      </w:r>
      <w:r w:rsidR="00F119B0" w:rsidRPr="002B40FC">
        <w:rPr>
          <w:rFonts w:ascii="Times New Roman" w:hAnsi="Times New Roman"/>
          <w:color w:val="000000"/>
          <w:sz w:val="24"/>
          <w:szCs w:val="24"/>
        </w:rPr>
        <w:t>não apresenta</w:t>
      </w:r>
      <w:r w:rsidR="00CB2D28" w:rsidRPr="002B40FC">
        <w:rPr>
          <w:rFonts w:ascii="Times New Roman" w:hAnsi="Times New Roman"/>
          <w:color w:val="000000"/>
          <w:sz w:val="24"/>
          <w:szCs w:val="24"/>
        </w:rPr>
        <w:t>ra</w:t>
      </w:r>
      <w:r w:rsidR="00F119B0" w:rsidRPr="002B40FC">
        <w:rPr>
          <w:rFonts w:ascii="Times New Roman" w:hAnsi="Times New Roman"/>
          <w:color w:val="000000"/>
          <w:sz w:val="24"/>
          <w:szCs w:val="24"/>
        </w:rPr>
        <w:t xml:space="preserve">m comportamento exigente, </w:t>
      </w:r>
      <w:r w:rsidR="008D2806" w:rsidRPr="002B40FC">
        <w:rPr>
          <w:rFonts w:ascii="Times New Roman" w:hAnsi="Times New Roman"/>
          <w:color w:val="000000"/>
          <w:sz w:val="24"/>
          <w:szCs w:val="24"/>
        </w:rPr>
        <w:t>uma vez que, a germinação,</w:t>
      </w:r>
      <w:r w:rsidR="00F119B0" w:rsidRPr="002B40FC">
        <w:rPr>
          <w:rFonts w:ascii="Times New Roman" w:hAnsi="Times New Roman"/>
          <w:color w:val="000000"/>
          <w:sz w:val="24"/>
          <w:szCs w:val="24"/>
        </w:rPr>
        <w:t xml:space="preserve"> par de folhas, comprimento radicular</w:t>
      </w:r>
      <w:r w:rsidR="00EA338A" w:rsidRPr="002B40FC">
        <w:rPr>
          <w:rFonts w:ascii="Times New Roman" w:hAnsi="Times New Roman"/>
          <w:color w:val="000000"/>
          <w:sz w:val="24"/>
          <w:szCs w:val="24"/>
        </w:rPr>
        <w:t xml:space="preserve"> e da</w:t>
      </w:r>
      <w:r w:rsidR="00F119B0" w:rsidRPr="002B40FC">
        <w:rPr>
          <w:rFonts w:ascii="Times New Roman" w:hAnsi="Times New Roman"/>
          <w:color w:val="000000"/>
          <w:sz w:val="24"/>
          <w:szCs w:val="24"/>
        </w:rPr>
        <w:t xml:space="preserve"> parte aérea, massa seca e fresca, além dos menores valores de calogênese, plantas senescentes, e contaminação, </w:t>
      </w:r>
      <w:r w:rsidR="00EA338A" w:rsidRPr="002B40FC">
        <w:rPr>
          <w:rFonts w:ascii="Times New Roman" w:hAnsi="Times New Roman"/>
          <w:color w:val="000000"/>
          <w:sz w:val="24"/>
          <w:szCs w:val="24"/>
        </w:rPr>
        <w:t xml:space="preserve">foram </w:t>
      </w:r>
      <w:r w:rsidR="00F119B0" w:rsidRPr="002B40FC">
        <w:rPr>
          <w:rFonts w:ascii="Times New Roman" w:hAnsi="Times New Roman"/>
          <w:color w:val="000000"/>
          <w:sz w:val="24"/>
          <w:szCs w:val="24"/>
        </w:rPr>
        <w:t>obtidos, quando submetida</w:t>
      </w:r>
      <w:r w:rsidR="00EA338A" w:rsidRPr="002B40FC">
        <w:rPr>
          <w:rFonts w:ascii="Times New Roman" w:hAnsi="Times New Roman"/>
          <w:color w:val="000000"/>
          <w:sz w:val="24"/>
          <w:szCs w:val="24"/>
        </w:rPr>
        <w:t>s</w:t>
      </w:r>
      <w:r w:rsidR="00F119B0" w:rsidRPr="002B40FC">
        <w:rPr>
          <w:rFonts w:ascii="Times New Roman" w:hAnsi="Times New Roman"/>
          <w:color w:val="000000"/>
          <w:sz w:val="24"/>
          <w:szCs w:val="24"/>
        </w:rPr>
        <w:t xml:space="preserve"> a baixa disponibilidade de sais minerais e sacarose. </w:t>
      </w:r>
      <w:r w:rsidR="008D2806" w:rsidRPr="002B40FC">
        <w:rPr>
          <w:rFonts w:ascii="Times New Roman" w:hAnsi="Times New Roman"/>
          <w:color w:val="000000"/>
          <w:sz w:val="24"/>
          <w:szCs w:val="24"/>
        </w:rPr>
        <w:t>Os melhores tratamentos</w:t>
      </w:r>
      <w:r w:rsidR="00F119B0" w:rsidRPr="002B40FC">
        <w:rPr>
          <w:rFonts w:ascii="Times New Roman" w:hAnsi="Times New Roman"/>
          <w:color w:val="000000"/>
          <w:sz w:val="24"/>
          <w:szCs w:val="24"/>
        </w:rPr>
        <w:t>, foram os que continham 50% do meio MS e as menores doses de sacarose</w:t>
      </w:r>
      <w:r w:rsidR="00857659" w:rsidRPr="002B40FC">
        <w:rPr>
          <w:rFonts w:ascii="Times New Roman" w:eastAsia="Arial" w:hAnsi="Times New Roman"/>
          <w:sz w:val="24"/>
          <w:szCs w:val="24"/>
        </w:rPr>
        <w:t>.</w:t>
      </w:r>
    </w:p>
    <w:p w:rsidR="00FF671D" w:rsidRPr="002B40FC" w:rsidRDefault="00FF671D" w:rsidP="00460133">
      <w:pPr>
        <w:spacing w:after="0" w:line="360" w:lineRule="auto"/>
        <w:jc w:val="both"/>
        <w:rPr>
          <w:rFonts w:ascii="Times New Roman" w:eastAsia="Arial" w:hAnsi="Times New Roman"/>
          <w:sz w:val="24"/>
          <w:szCs w:val="24"/>
        </w:rPr>
      </w:pPr>
    </w:p>
    <w:p w:rsidR="00F119B0" w:rsidRPr="002B40FC" w:rsidRDefault="0024369A" w:rsidP="00460133">
      <w:pPr>
        <w:spacing w:after="0" w:line="360" w:lineRule="auto"/>
        <w:jc w:val="both"/>
        <w:rPr>
          <w:rFonts w:ascii="Times New Roman" w:hAnsi="Times New Roman"/>
          <w:sz w:val="24"/>
          <w:szCs w:val="24"/>
          <w:lang w:val="en-US"/>
        </w:rPr>
      </w:pPr>
      <w:r w:rsidRPr="002B40FC">
        <w:rPr>
          <w:rFonts w:ascii="Times New Roman" w:hAnsi="Times New Roman"/>
          <w:b/>
          <w:sz w:val="24"/>
          <w:szCs w:val="24"/>
        </w:rPr>
        <w:t>PALAVRAS-CHAVE</w:t>
      </w:r>
      <w:r w:rsidR="00857659" w:rsidRPr="002B40FC">
        <w:rPr>
          <w:rFonts w:ascii="Times New Roman" w:hAnsi="Times New Roman"/>
          <w:b/>
          <w:sz w:val="24"/>
          <w:szCs w:val="24"/>
        </w:rPr>
        <w:t xml:space="preserve">: </w:t>
      </w:r>
      <w:r w:rsidR="00857659" w:rsidRPr="002B40FC">
        <w:rPr>
          <w:rFonts w:ascii="Times New Roman" w:hAnsi="Times New Roman"/>
          <w:i/>
          <w:sz w:val="24"/>
          <w:szCs w:val="24"/>
          <w:lang w:val="en-US"/>
        </w:rPr>
        <w:t>Ochroma pyramidale</w:t>
      </w:r>
      <w:r w:rsidR="00857659" w:rsidRPr="002B40FC">
        <w:rPr>
          <w:rFonts w:ascii="Times New Roman" w:hAnsi="Times New Roman"/>
          <w:sz w:val="24"/>
          <w:szCs w:val="24"/>
          <w:lang w:val="en-US"/>
        </w:rPr>
        <w:t>.</w:t>
      </w:r>
      <w:r w:rsidR="00857659" w:rsidRPr="002B40FC">
        <w:rPr>
          <w:rFonts w:ascii="Times New Roman" w:hAnsi="Times New Roman"/>
          <w:i/>
          <w:sz w:val="24"/>
          <w:szCs w:val="24"/>
          <w:lang w:val="en-US"/>
        </w:rPr>
        <w:t xml:space="preserve"> </w:t>
      </w:r>
      <w:r w:rsidR="00857659" w:rsidRPr="002B40FC">
        <w:rPr>
          <w:rFonts w:ascii="Times New Roman" w:hAnsi="Times New Roman"/>
          <w:sz w:val="24"/>
          <w:szCs w:val="24"/>
          <w:lang w:val="en-US"/>
        </w:rPr>
        <w:t xml:space="preserve">Micropropagação. </w:t>
      </w:r>
      <w:r w:rsidR="0038555F" w:rsidRPr="002B40FC">
        <w:rPr>
          <w:rFonts w:ascii="Times New Roman" w:hAnsi="Times New Roman"/>
          <w:sz w:val="24"/>
          <w:szCs w:val="24"/>
          <w:lang w:val="en-US"/>
        </w:rPr>
        <w:t>Desenvolvimento.</w:t>
      </w:r>
    </w:p>
    <w:p w:rsidR="00857659" w:rsidRPr="002B40FC" w:rsidRDefault="00857659" w:rsidP="00460133">
      <w:pPr>
        <w:spacing w:after="0" w:line="360" w:lineRule="auto"/>
        <w:jc w:val="both"/>
        <w:rPr>
          <w:rFonts w:ascii="Times New Roman" w:hAnsi="Times New Roman"/>
          <w:b/>
          <w:sz w:val="24"/>
          <w:szCs w:val="24"/>
        </w:rPr>
      </w:pPr>
    </w:p>
    <w:p w:rsidR="0038555F" w:rsidRPr="002B40FC" w:rsidRDefault="0024369A" w:rsidP="00460133">
      <w:pPr>
        <w:spacing w:after="0" w:line="360" w:lineRule="auto"/>
        <w:jc w:val="both"/>
        <w:rPr>
          <w:rFonts w:ascii="Times New Roman" w:hAnsi="Times New Roman"/>
          <w:color w:val="212121"/>
          <w:sz w:val="24"/>
          <w:szCs w:val="24"/>
          <w:shd w:val="clear" w:color="auto" w:fill="FFFFFF"/>
          <w:lang w:val="en-US"/>
        </w:rPr>
      </w:pPr>
      <w:r w:rsidRPr="002B40FC">
        <w:rPr>
          <w:rFonts w:ascii="Times New Roman" w:hAnsi="Times New Roman"/>
          <w:b/>
          <w:sz w:val="24"/>
          <w:szCs w:val="24"/>
          <w:lang w:val="en-US"/>
        </w:rPr>
        <w:t>ABSTRACT</w:t>
      </w:r>
      <w:r w:rsidR="00857659" w:rsidRPr="002B40FC">
        <w:rPr>
          <w:rFonts w:ascii="Times New Roman" w:hAnsi="Times New Roman"/>
          <w:b/>
          <w:sz w:val="24"/>
          <w:szCs w:val="24"/>
          <w:lang w:val="en-US"/>
        </w:rPr>
        <w:t xml:space="preserve">: </w:t>
      </w:r>
      <w:r w:rsidR="0038555F" w:rsidRPr="002B40FC">
        <w:rPr>
          <w:rFonts w:ascii="Times New Roman" w:hAnsi="Times New Roman"/>
          <w:sz w:val="24"/>
          <w:szCs w:val="24"/>
          <w:shd w:val="clear" w:color="auto" w:fill="FFFFFF"/>
          <w:lang w:val="en-US"/>
        </w:rPr>
        <w:t>The way of spreading pau-de-balsa seeds is limited</w:t>
      </w:r>
      <w:r w:rsidR="00FF671D" w:rsidRPr="002B40FC">
        <w:rPr>
          <w:rFonts w:ascii="Times New Roman" w:hAnsi="Times New Roman"/>
          <w:sz w:val="24"/>
          <w:szCs w:val="24"/>
          <w:shd w:val="clear" w:color="auto" w:fill="FFFFFF"/>
          <w:lang w:val="en-US"/>
        </w:rPr>
        <w:t>,</w:t>
      </w:r>
      <w:r w:rsidR="0038555F" w:rsidRPr="002B40FC">
        <w:rPr>
          <w:rFonts w:ascii="Times New Roman" w:hAnsi="Times New Roman"/>
          <w:sz w:val="24"/>
          <w:szCs w:val="24"/>
          <w:shd w:val="clear" w:color="auto" w:fill="FFFFFF"/>
          <w:lang w:val="en-US"/>
        </w:rPr>
        <w:t xml:space="preserve"> because there is a tegumental inactivity and low natural germination rate. A viable alternative </w:t>
      </w:r>
      <w:r w:rsidR="00806C84" w:rsidRPr="002B40FC">
        <w:rPr>
          <w:rFonts w:ascii="Times New Roman" w:hAnsi="Times New Roman"/>
          <w:sz w:val="24"/>
          <w:szCs w:val="24"/>
          <w:shd w:val="clear" w:color="auto" w:fill="FFFFFF"/>
          <w:lang w:val="en-US"/>
        </w:rPr>
        <w:t>for this</w:t>
      </w:r>
      <w:r w:rsidR="0038555F" w:rsidRPr="002B40FC">
        <w:rPr>
          <w:rFonts w:ascii="Times New Roman" w:hAnsi="Times New Roman"/>
          <w:sz w:val="24"/>
          <w:szCs w:val="24"/>
          <w:shd w:val="clear" w:color="auto" w:fill="FFFFFF"/>
          <w:lang w:val="en-US"/>
        </w:rPr>
        <w:t xml:space="preserve"> </w:t>
      </w:r>
      <w:r w:rsidR="00806C84" w:rsidRPr="002B40FC">
        <w:rPr>
          <w:rFonts w:ascii="Times New Roman" w:hAnsi="Times New Roman"/>
          <w:sz w:val="24"/>
          <w:szCs w:val="24"/>
          <w:shd w:val="clear" w:color="auto" w:fill="FFFFFF"/>
          <w:lang w:val="en-US"/>
        </w:rPr>
        <w:t>limitation,</w:t>
      </w:r>
      <w:r w:rsidR="0038555F" w:rsidRPr="002B40FC">
        <w:rPr>
          <w:rFonts w:ascii="Times New Roman" w:hAnsi="Times New Roman"/>
          <w:sz w:val="24"/>
          <w:szCs w:val="24"/>
          <w:shd w:val="clear" w:color="auto" w:fill="FFFFFF"/>
          <w:lang w:val="en-US"/>
        </w:rPr>
        <w:t xml:space="preserve"> is the micropropagation. The goal of this technique is the production of large-scale plants with higher quality in short time and limited space. Therefore, the study aimed to evaluate the effect of different concentrations of MS and sucrose, in a vitro culture of pau-de-balsa seeds. The experiment was conducted, randomly, in a 2x4 factorial design, two concentrations of MS (50 to 100%) and four of sucrose (0, 15, 20 and 25 g L-1), in a total of 8 treatments with 15 repetitions and each repetition 3 individuals, totalizing 360 individuals. </w:t>
      </w:r>
      <w:r w:rsidR="00806C84" w:rsidRPr="002B40FC">
        <w:rPr>
          <w:rFonts w:ascii="Times New Roman" w:hAnsi="Times New Roman"/>
          <w:sz w:val="24"/>
          <w:szCs w:val="24"/>
          <w:shd w:val="clear" w:color="auto" w:fill="FFFFFF"/>
          <w:lang w:val="en-US"/>
        </w:rPr>
        <w:t>I</w:t>
      </w:r>
      <w:r w:rsidR="00C34B8D" w:rsidRPr="002B40FC">
        <w:rPr>
          <w:rFonts w:ascii="Times New Roman" w:hAnsi="Times New Roman"/>
          <w:sz w:val="24"/>
          <w:szCs w:val="24"/>
          <w:shd w:val="clear" w:color="auto" w:fill="FFFFFF"/>
          <w:lang w:val="en-US"/>
        </w:rPr>
        <w:t>t was</w:t>
      </w:r>
      <w:r w:rsidR="0038555F" w:rsidRPr="002B40FC">
        <w:rPr>
          <w:rFonts w:ascii="Times New Roman" w:hAnsi="Times New Roman"/>
          <w:sz w:val="24"/>
          <w:szCs w:val="24"/>
          <w:shd w:val="clear" w:color="auto" w:fill="FFFFFF"/>
          <w:lang w:val="en-US"/>
        </w:rPr>
        <w:t xml:space="preserve"> observe</w:t>
      </w:r>
      <w:r w:rsidR="00C34B8D" w:rsidRPr="002B40FC">
        <w:rPr>
          <w:rFonts w:ascii="Times New Roman" w:hAnsi="Times New Roman"/>
          <w:sz w:val="24"/>
          <w:szCs w:val="24"/>
          <w:shd w:val="clear" w:color="auto" w:fill="FFFFFF"/>
          <w:lang w:val="en-US"/>
        </w:rPr>
        <w:t>d</w:t>
      </w:r>
      <w:r w:rsidR="0038555F" w:rsidRPr="002B40FC">
        <w:rPr>
          <w:rFonts w:ascii="Times New Roman" w:hAnsi="Times New Roman"/>
          <w:sz w:val="24"/>
          <w:szCs w:val="24"/>
          <w:shd w:val="clear" w:color="auto" w:fill="FFFFFF"/>
          <w:lang w:val="en-US"/>
        </w:rPr>
        <w:t xml:space="preserve"> the influence of the concentration of MS</w:t>
      </w:r>
      <w:r w:rsidR="0038555F" w:rsidRPr="002B40FC">
        <w:rPr>
          <w:rFonts w:ascii="Times New Roman" w:hAnsi="Times New Roman"/>
          <w:b/>
          <w:sz w:val="24"/>
          <w:szCs w:val="24"/>
          <w:shd w:val="clear" w:color="auto" w:fill="FFFFFF"/>
          <w:lang w:val="en-US"/>
        </w:rPr>
        <w:t xml:space="preserve"> </w:t>
      </w:r>
      <w:r w:rsidR="0038555F" w:rsidRPr="002B40FC">
        <w:rPr>
          <w:rFonts w:ascii="Times New Roman" w:hAnsi="Times New Roman"/>
          <w:sz w:val="24"/>
          <w:szCs w:val="24"/>
          <w:shd w:val="clear" w:color="auto" w:fill="FFFFFF"/>
          <w:lang w:val="en-US"/>
        </w:rPr>
        <w:t>and</w:t>
      </w:r>
      <w:r w:rsidR="0038555F" w:rsidRPr="002B40FC">
        <w:rPr>
          <w:rFonts w:ascii="Times New Roman" w:hAnsi="Times New Roman"/>
          <w:b/>
          <w:sz w:val="24"/>
          <w:szCs w:val="24"/>
          <w:shd w:val="clear" w:color="auto" w:fill="FFFFFF"/>
          <w:lang w:val="en-US"/>
        </w:rPr>
        <w:t xml:space="preserve"> </w:t>
      </w:r>
      <w:r w:rsidR="0038555F" w:rsidRPr="002B40FC">
        <w:rPr>
          <w:rFonts w:ascii="Times New Roman" w:hAnsi="Times New Roman"/>
          <w:sz w:val="24"/>
          <w:szCs w:val="24"/>
          <w:shd w:val="clear" w:color="auto" w:fill="FFFFFF"/>
          <w:lang w:val="en-US"/>
        </w:rPr>
        <w:t xml:space="preserve">sucrose in the vitro culture of pau-de-balsa seeds. </w:t>
      </w:r>
      <w:r w:rsidR="00FF671D" w:rsidRPr="002B40FC">
        <w:rPr>
          <w:rFonts w:ascii="Times New Roman" w:hAnsi="Times New Roman"/>
          <w:sz w:val="24"/>
          <w:szCs w:val="24"/>
          <w:shd w:val="clear" w:color="auto" w:fill="FFFFFF"/>
          <w:lang w:val="en-US"/>
        </w:rPr>
        <w:t>And they</w:t>
      </w:r>
      <w:r w:rsidR="0038555F" w:rsidRPr="002B40FC">
        <w:rPr>
          <w:rFonts w:ascii="Times New Roman" w:hAnsi="Times New Roman"/>
          <w:sz w:val="24"/>
          <w:szCs w:val="24"/>
          <w:shd w:val="clear" w:color="auto" w:fill="FFFFFF"/>
          <w:lang w:val="en-US"/>
        </w:rPr>
        <w:t xml:space="preserve"> do not require a specific behavior in vitro germination, it is necessary two leaves, root </w:t>
      </w:r>
      <w:r w:rsidR="0038555F" w:rsidRPr="002B40FC">
        <w:rPr>
          <w:rFonts w:ascii="Times New Roman" w:hAnsi="Times New Roman"/>
          <w:sz w:val="24"/>
          <w:szCs w:val="24"/>
          <w:shd w:val="clear" w:color="auto" w:fill="FFFFFF"/>
          <w:lang w:val="en-US"/>
        </w:rPr>
        <w:lastRenderedPageBreak/>
        <w:t>length, shoot length, dry and natural weight, in addition to small amount of callogenesis, senescent plan</w:t>
      </w:r>
      <w:r w:rsidR="00806C84" w:rsidRPr="002B40FC">
        <w:rPr>
          <w:rFonts w:ascii="Times New Roman" w:hAnsi="Times New Roman"/>
          <w:sz w:val="24"/>
          <w:szCs w:val="24"/>
          <w:shd w:val="clear" w:color="auto" w:fill="FFFFFF"/>
          <w:lang w:val="en-US"/>
        </w:rPr>
        <w:t xml:space="preserve">ts, and contamination. They are </w:t>
      </w:r>
      <w:r w:rsidR="0038555F" w:rsidRPr="002B40FC">
        <w:rPr>
          <w:rFonts w:ascii="Times New Roman" w:hAnsi="Times New Roman"/>
          <w:sz w:val="24"/>
          <w:szCs w:val="24"/>
          <w:shd w:val="clear" w:color="auto" w:fill="FFFFFF"/>
          <w:lang w:val="en-US"/>
        </w:rPr>
        <w:t>obtained when the species was subjected to low availability of sucrose and mineral salts. The best treatment for most variables were those containing 50% MS, and lower sucrose levels.</w:t>
      </w:r>
    </w:p>
    <w:p w:rsidR="00857659" w:rsidRPr="002B40FC" w:rsidRDefault="00857659" w:rsidP="00460133">
      <w:pPr>
        <w:spacing w:after="0" w:line="360" w:lineRule="auto"/>
        <w:jc w:val="both"/>
        <w:rPr>
          <w:rFonts w:ascii="Times New Roman" w:hAnsi="Times New Roman"/>
          <w:b/>
          <w:sz w:val="24"/>
          <w:szCs w:val="24"/>
          <w:lang w:val="en-US"/>
        </w:rPr>
      </w:pPr>
    </w:p>
    <w:p w:rsidR="00553746" w:rsidRDefault="0024369A" w:rsidP="00460133">
      <w:pPr>
        <w:spacing w:line="360" w:lineRule="auto"/>
        <w:jc w:val="both"/>
        <w:rPr>
          <w:rFonts w:ascii="Times New Roman" w:hAnsi="Times New Roman"/>
          <w:sz w:val="24"/>
          <w:szCs w:val="24"/>
          <w:shd w:val="clear" w:color="auto" w:fill="FFFFFF"/>
          <w:lang w:val="en-US"/>
        </w:rPr>
      </w:pPr>
      <w:r w:rsidRPr="002B40FC">
        <w:rPr>
          <w:rFonts w:ascii="Times New Roman" w:hAnsi="Times New Roman"/>
          <w:b/>
          <w:sz w:val="24"/>
          <w:szCs w:val="24"/>
          <w:lang w:val="en-US"/>
        </w:rPr>
        <w:t>KEY WORDS</w:t>
      </w:r>
      <w:r w:rsidR="00857659" w:rsidRPr="002B40FC">
        <w:rPr>
          <w:rFonts w:ascii="Times New Roman" w:hAnsi="Times New Roman"/>
          <w:b/>
          <w:sz w:val="24"/>
          <w:szCs w:val="24"/>
          <w:lang w:val="en-US"/>
        </w:rPr>
        <w:t xml:space="preserve">: </w:t>
      </w:r>
      <w:r w:rsidR="00857659" w:rsidRPr="002B40FC">
        <w:rPr>
          <w:rFonts w:ascii="Times New Roman" w:hAnsi="Times New Roman"/>
          <w:i/>
          <w:sz w:val="24"/>
          <w:szCs w:val="24"/>
          <w:shd w:val="clear" w:color="auto" w:fill="FFFFFF"/>
          <w:lang w:val="en-US"/>
        </w:rPr>
        <w:t>Ochroma pyramidale</w:t>
      </w:r>
      <w:r w:rsidR="00857659" w:rsidRPr="002B40FC">
        <w:rPr>
          <w:rFonts w:ascii="Times New Roman" w:hAnsi="Times New Roman"/>
          <w:sz w:val="24"/>
          <w:szCs w:val="24"/>
          <w:shd w:val="clear" w:color="auto" w:fill="FFFFFF"/>
          <w:lang w:val="en-US"/>
        </w:rPr>
        <w:t>.</w:t>
      </w:r>
      <w:r w:rsidR="0038555F" w:rsidRPr="002B40FC">
        <w:rPr>
          <w:rFonts w:ascii="Times New Roman" w:hAnsi="Times New Roman"/>
          <w:sz w:val="24"/>
          <w:szCs w:val="24"/>
          <w:shd w:val="clear" w:color="auto" w:fill="FFFFFF"/>
          <w:lang w:val="en-US"/>
        </w:rPr>
        <w:t xml:space="preserve"> Micropropagation. Development.</w:t>
      </w:r>
    </w:p>
    <w:p w:rsidR="00553746" w:rsidRDefault="00553746" w:rsidP="00460133">
      <w:pPr>
        <w:spacing w:after="0" w:line="360" w:lineRule="auto"/>
        <w:jc w:val="both"/>
        <w:rPr>
          <w:rFonts w:ascii="Times New Roman" w:hAnsi="Times New Roman"/>
          <w:sz w:val="24"/>
          <w:szCs w:val="24"/>
          <w:shd w:val="clear" w:color="auto" w:fill="FFFFFF"/>
          <w:lang w:val="en-US"/>
        </w:rPr>
      </w:pPr>
    </w:p>
    <w:p w:rsidR="00553746" w:rsidRDefault="0024369A" w:rsidP="00460133">
      <w:pPr>
        <w:spacing w:after="0" w:line="360" w:lineRule="auto"/>
        <w:jc w:val="both"/>
        <w:rPr>
          <w:rFonts w:ascii="Times New Roman" w:hAnsi="Times New Roman"/>
          <w:sz w:val="24"/>
          <w:szCs w:val="24"/>
          <w:shd w:val="clear" w:color="auto" w:fill="FFFFFF"/>
          <w:lang w:val="en-US"/>
        </w:rPr>
      </w:pPr>
      <w:r w:rsidRPr="002B40FC">
        <w:rPr>
          <w:rFonts w:ascii="Times New Roman" w:hAnsi="Times New Roman"/>
          <w:b/>
          <w:sz w:val="24"/>
          <w:szCs w:val="24"/>
        </w:rPr>
        <w:t>INTRODUÇÃO</w:t>
      </w:r>
    </w:p>
    <w:p w:rsidR="00857659" w:rsidRPr="00553746" w:rsidRDefault="00857659" w:rsidP="00460133">
      <w:pPr>
        <w:spacing w:after="0" w:line="360" w:lineRule="auto"/>
        <w:ind w:firstLine="567"/>
        <w:jc w:val="both"/>
        <w:rPr>
          <w:rFonts w:ascii="Times New Roman" w:hAnsi="Times New Roman"/>
          <w:sz w:val="24"/>
          <w:szCs w:val="24"/>
          <w:shd w:val="clear" w:color="auto" w:fill="FFFFFF"/>
          <w:lang w:val="en-US"/>
        </w:rPr>
      </w:pPr>
      <w:r w:rsidRPr="002B40FC">
        <w:rPr>
          <w:rFonts w:ascii="Times New Roman" w:hAnsi="Times New Roman"/>
          <w:sz w:val="24"/>
          <w:szCs w:val="24"/>
        </w:rPr>
        <w:t xml:space="preserve">A flora Brasileira é reconhecida pela ampla diversidade de espécies, onde a Floresta Amazônica consiste no maior reservatório de diversidade vegetal do planeta (PEREIRA et al., 2011), no entanto, apresenta espécies pouco conhecidas e estudadas, como o pau-de-balsa </w:t>
      </w:r>
      <w:r w:rsidRPr="002B40FC">
        <w:rPr>
          <w:rFonts w:ascii="Times New Roman" w:hAnsi="Times New Roman"/>
          <w:i/>
          <w:sz w:val="24"/>
          <w:szCs w:val="24"/>
        </w:rPr>
        <w:t>Ochroma pyramidale</w:t>
      </w:r>
      <w:r w:rsidRPr="002B40FC">
        <w:rPr>
          <w:rFonts w:ascii="Times New Roman" w:hAnsi="Times New Roman"/>
          <w:sz w:val="24"/>
          <w:szCs w:val="24"/>
        </w:rPr>
        <w:t xml:space="preserve"> (Cav. ex Lam.) Urban. (Malvaceae).</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O pau-de-balsa é caracterizado por apresentar importância econômica, ecológica e social. Ocorre desde o Sul do México até a Bolívia (DALBERTO, 2012). No Brasil, sua distribuição está concentrada principalmente nos estados do Acre, Amazonas, Pará e Roraima (CARVALHO, 2010). Porém, existem várias regiões no País, detentoras de ótimas condições para o seu desenvolvimento, uma vez que, possui alta adaptabilidade (REIS, 2011).</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A espécie é utilizada em sistemas agroflorestais, plantios mistos destinados à recomposição de áreas degradadas e de preservação permanente, graças ao seu rápido crescimento e tolerância à luminosidade direta (SANTOS, 2014). </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Sua madeira, possui baixa densidade, grande resistência às tensões, tornando-a fácil de trabalhar (PINTO, 1998). Diante de suas características, é empregada em construções aeromodelos, jangadas, balsas, salva-vidas, </w:t>
      </w:r>
      <w:r w:rsidR="00564FF9" w:rsidRPr="002B40FC">
        <w:rPr>
          <w:rFonts w:ascii="Times New Roman" w:hAnsi="Times New Roman"/>
          <w:sz w:val="24"/>
          <w:szCs w:val="24"/>
        </w:rPr>
        <w:t>boias</w:t>
      </w:r>
      <w:r w:rsidRPr="002B40FC">
        <w:rPr>
          <w:rFonts w:ascii="Times New Roman" w:hAnsi="Times New Roman"/>
          <w:sz w:val="24"/>
          <w:szCs w:val="24"/>
        </w:rPr>
        <w:t xml:space="preserve"> e brinquedos (LAMPRECHT, 1990). </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Além disso, pode ser utilizada na fabricação de papel e celulose, forros de tetos, isolante térmico e caixas de embalagem de produtos perecíveis (RIZZINI, 1978), apresenta alto potencial para fabricação de chapas de </w:t>
      </w:r>
      <w:r w:rsidR="00142908" w:rsidRPr="002B40FC">
        <w:rPr>
          <w:rFonts w:ascii="Times New Roman" w:hAnsi="Times New Roman"/>
          <w:sz w:val="24"/>
          <w:szCs w:val="24"/>
        </w:rPr>
        <w:t>cimento madeira</w:t>
      </w:r>
      <w:r w:rsidRPr="002B40FC">
        <w:rPr>
          <w:rFonts w:ascii="Times New Roman" w:hAnsi="Times New Roman"/>
          <w:sz w:val="24"/>
          <w:szCs w:val="24"/>
        </w:rPr>
        <w:t>, móveis e pisos (SABOGAL et al., 2006). A paina que envolve sua semente é muito útil para preencher almofadas e travesseiros (LORENZI, 1992).</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Entretanto, apesar de sua importância, possui limitação na forma de propagação, em decorrência da dormência tegumentar, esta, apresenta baixa taxa de germinação natural, portanto, é fundamental aprofundar em estudos alternativos na propagação da espécie, com intuito de contribuir para o maior sucesso em sua utilização. Uma alternativa viável é a micropropagação, recomendada para espécies com dificuldade de germinação e </w:t>
      </w:r>
      <w:r w:rsidRPr="002B40FC">
        <w:rPr>
          <w:rFonts w:ascii="Times New Roman" w:hAnsi="Times New Roman"/>
          <w:sz w:val="24"/>
          <w:szCs w:val="24"/>
        </w:rPr>
        <w:lastRenderedPageBreak/>
        <w:t xml:space="preserve">armazenamento, essa técnica, visa a produção de mudas em larga escala, com qualidade superior, em curto período e espaço reduzido (DE MOURA et al., 2012). </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A técnica exige a otimização das condições de cultivo para cada espécie, onde o meio de cultura deverá suprir tecidos e órgãos com nutrientes necessários ao crescimento, basicamente, fornecer macro e micronutrientes, e um carboidrato para substituir o carbono fixado pela planta na atmosfera, através da fotossíntese (MONFORT et al., 2011).</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Dentre as diversas formas de carbono no cultivo </w:t>
      </w:r>
      <w:r w:rsidRPr="002B40FC">
        <w:rPr>
          <w:rFonts w:ascii="Times New Roman" w:hAnsi="Times New Roman"/>
          <w:i/>
          <w:sz w:val="24"/>
          <w:szCs w:val="24"/>
        </w:rPr>
        <w:t>in vitro</w:t>
      </w:r>
      <w:r w:rsidRPr="002B40FC">
        <w:rPr>
          <w:rFonts w:ascii="Times New Roman" w:hAnsi="Times New Roman"/>
          <w:sz w:val="24"/>
          <w:szCs w:val="24"/>
        </w:rPr>
        <w:t>, a sacarose é a mais utilizada, por ser o hidratado de carbono mais comum na seiva do floema de muitas plantas (GAUCHAN, 2012). Vários autores, relataram seu efeito positivo, em diferentes espécies, além, da possibilidade de variações em sua concentração, o que beneficia o cultivo e reduz gastos (SILVEIRA et al., 2012; SORACE et al., 2008 e MOREIRA et al., 2007).</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Em relação ao meio, muitos autores, mencionaram, a possibilidade de reduzir a concentração de sais do meio MS, para diversas espécies, com o intuito de melhorar o desenvolvimento e reduzir custos. Em inhame, </w:t>
      </w:r>
      <w:r w:rsidR="00460133">
        <w:rPr>
          <w:rFonts w:ascii="Times New Roman" w:hAnsi="Times New Roman"/>
          <w:sz w:val="24"/>
          <w:szCs w:val="24"/>
        </w:rPr>
        <w:t>verificou-se</w:t>
      </w:r>
      <w:r w:rsidRPr="002B40FC">
        <w:rPr>
          <w:rFonts w:ascii="Times New Roman" w:hAnsi="Times New Roman"/>
          <w:sz w:val="24"/>
          <w:szCs w:val="24"/>
        </w:rPr>
        <w:t xml:space="preserve"> que a redução da concentração de sais e vitaminas do meio MS a 50%, </w:t>
      </w:r>
      <w:r w:rsidR="00460133">
        <w:rPr>
          <w:rFonts w:ascii="Times New Roman" w:hAnsi="Times New Roman"/>
          <w:sz w:val="24"/>
          <w:szCs w:val="24"/>
        </w:rPr>
        <w:t>proporcionou</w:t>
      </w:r>
      <w:r w:rsidRPr="002B40FC">
        <w:rPr>
          <w:rFonts w:ascii="Times New Roman" w:hAnsi="Times New Roman"/>
          <w:sz w:val="24"/>
          <w:szCs w:val="24"/>
        </w:rPr>
        <w:t xml:space="preserve"> melhor desenvolvimento da parte aérea e radicular (SIMÕES et al., 2014). Dantas et al. (2000), relataram melhor enraizamento </w:t>
      </w:r>
      <w:r w:rsidRPr="002B40FC">
        <w:rPr>
          <w:rFonts w:ascii="Times New Roman" w:hAnsi="Times New Roman"/>
          <w:i/>
          <w:sz w:val="24"/>
          <w:szCs w:val="24"/>
        </w:rPr>
        <w:t>in vitro</w:t>
      </w:r>
      <w:r w:rsidRPr="002B40FC">
        <w:rPr>
          <w:rFonts w:ascii="Times New Roman" w:hAnsi="Times New Roman"/>
          <w:sz w:val="24"/>
          <w:szCs w:val="24"/>
        </w:rPr>
        <w:t xml:space="preserve"> de amoreira preta, quando utilizou-se concentrações de sais no meio básico MS reduzidas a 1/2, 1/3 ou 1/4. </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Contudo, diante da importância do Pau-de-balsa, suas dificuldades, e escassez de trabalhos publicados envolvendo o cultivo </w:t>
      </w:r>
      <w:r w:rsidRPr="002B40FC">
        <w:rPr>
          <w:rFonts w:ascii="Times New Roman" w:hAnsi="Times New Roman"/>
          <w:i/>
          <w:sz w:val="24"/>
          <w:szCs w:val="24"/>
        </w:rPr>
        <w:t>in vitro</w:t>
      </w:r>
      <w:r w:rsidRPr="002B40FC">
        <w:rPr>
          <w:rFonts w:ascii="Times New Roman" w:hAnsi="Times New Roman"/>
          <w:sz w:val="24"/>
          <w:szCs w:val="24"/>
        </w:rPr>
        <w:t>, é fundamental, estabelecer de protocolos, para favorecer a propagação da espécie, tendo em vista, a produção de mudas com qualidade, em menor espaço e período de tempo. Dessa forma,</w:t>
      </w:r>
      <w:r w:rsidRPr="002B40FC">
        <w:rPr>
          <w:rFonts w:ascii="Times New Roman" w:hAnsi="Times New Roman"/>
          <w:color w:val="FF0000"/>
          <w:sz w:val="24"/>
          <w:szCs w:val="24"/>
        </w:rPr>
        <w:t xml:space="preserve"> </w:t>
      </w:r>
      <w:r w:rsidRPr="002B40FC">
        <w:rPr>
          <w:rFonts w:ascii="Times New Roman" w:hAnsi="Times New Roman"/>
          <w:sz w:val="24"/>
          <w:szCs w:val="24"/>
        </w:rPr>
        <w:t xml:space="preserve">o trabalho tem como objetivo avaliar o efeito das diferentes concentrações de meio MS e sacarose, no estabelecimento </w:t>
      </w:r>
      <w:r w:rsidRPr="002B40FC">
        <w:rPr>
          <w:rFonts w:ascii="Times New Roman" w:hAnsi="Times New Roman"/>
          <w:i/>
          <w:sz w:val="24"/>
          <w:szCs w:val="24"/>
        </w:rPr>
        <w:t>in vitro</w:t>
      </w:r>
      <w:r w:rsidRPr="002B40FC">
        <w:rPr>
          <w:rFonts w:ascii="Times New Roman" w:hAnsi="Times New Roman"/>
          <w:sz w:val="24"/>
          <w:szCs w:val="24"/>
        </w:rPr>
        <w:t xml:space="preserve"> de sementes pau-de-balsa. </w:t>
      </w:r>
    </w:p>
    <w:p w:rsidR="00857659" w:rsidRPr="002B40FC" w:rsidRDefault="00857659" w:rsidP="00460133">
      <w:pPr>
        <w:spacing w:after="0" w:line="360" w:lineRule="auto"/>
        <w:ind w:firstLine="567"/>
        <w:jc w:val="both"/>
        <w:rPr>
          <w:rFonts w:ascii="Times New Roman" w:hAnsi="Times New Roman"/>
          <w:sz w:val="24"/>
          <w:szCs w:val="24"/>
        </w:rPr>
      </w:pPr>
    </w:p>
    <w:p w:rsidR="0007095E" w:rsidRPr="002B40FC" w:rsidRDefault="0024369A" w:rsidP="00460133">
      <w:pPr>
        <w:spacing w:after="0" w:line="360" w:lineRule="auto"/>
        <w:jc w:val="both"/>
        <w:rPr>
          <w:rFonts w:ascii="Times New Roman" w:hAnsi="Times New Roman"/>
          <w:b/>
          <w:sz w:val="24"/>
          <w:szCs w:val="24"/>
        </w:rPr>
      </w:pPr>
      <w:r w:rsidRPr="002B40FC">
        <w:rPr>
          <w:rFonts w:ascii="Times New Roman" w:hAnsi="Times New Roman"/>
          <w:b/>
          <w:sz w:val="24"/>
          <w:szCs w:val="24"/>
        </w:rPr>
        <w:t>MATERIAL E MÉTODOS</w:t>
      </w:r>
    </w:p>
    <w:p w:rsidR="00857659" w:rsidRPr="002B40FC" w:rsidRDefault="00857659" w:rsidP="00460133">
      <w:pPr>
        <w:spacing w:after="0" w:line="360" w:lineRule="auto"/>
        <w:ind w:firstLine="567"/>
        <w:jc w:val="both"/>
        <w:rPr>
          <w:rFonts w:ascii="Times New Roman" w:hAnsi="Times New Roman"/>
          <w:b/>
          <w:sz w:val="24"/>
          <w:szCs w:val="24"/>
        </w:rPr>
      </w:pPr>
      <w:r w:rsidRPr="002B40FC">
        <w:rPr>
          <w:rFonts w:ascii="Times New Roman" w:hAnsi="Times New Roman"/>
          <w:sz w:val="24"/>
          <w:szCs w:val="24"/>
        </w:rPr>
        <w:t>A coleta de sementes deu-se no município de Orizona-GO, em um povoamento com 4 anos de idade</w:t>
      </w:r>
      <w:r w:rsidR="00564FF9" w:rsidRPr="002B40FC">
        <w:rPr>
          <w:rFonts w:ascii="Times New Roman" w:hAnsi="Times New Roman"/>
          <w:sz w:val="24"/>
          <w:szCs w:val="24"/>
        </w:rPr>
        <w:t>,</w:t>
      </w:r>
      <w:r w:rsidRPr="002B40FC">
        <w:rPr>
          <w:rFonts w:ascii="Times New Roman" w:hAnsi="Times New Roman"/>
          <w:sz w:val="24"/>
          <w:szCs w:val="24"/>
        </w:rPr>
        <w:t xml:space="preserve"> após levantamento e identificação de árvores matrizes. A prospecção teve como objetivo a seleção de árvores com características desejáveis a propagação vegetativa, os parâmetros avaliados, foram altura da árvore e diâmetro do fuste, padrões facilmente visualizados em campo.</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Após a coleta, os frutos foram encaminhados ao Laboratório de Sementes Florestais da Universidade Estadual de Goiás - Câmpus Ipameri, para o beneficiamento e armazenamento. A extração das sementes ocorreu de forma manual, com posterior descarte dos indivíduos </w:t>
      </w:r>
      <w:r w:rsidRPr="002B40FC">
        <w:rPr>
          <w:rFonts w:ascii="Times New Roman" w:hAnsi="Times New Roman"/>
          <w:sz w:val="24"/>
          <w:szCs w:val="24"/>
        </w:rPr>
        <w:lastRenderedPageBreak/>
        <w:t xml:space="preserve">visivelmente inviáveis ou atacados por insetos, em seguida, foram armazenadas em sacos de papel, a fim de, garantir a conservação de suas qualidades físicas, fisiológicas e sanitárias. </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Para a desinfestação das sementes, procedimento realizado antes do estabelecimento </w:t>
      </w:r>
      <w:r w:rsidRPr="002B40FC">
        <w:rPr>
          <w:rFonts w:ascii="Times New Roman" w:hAnsi="Times New Roman"/>
          <w:i/>
          <w:sz w:val="24"/>
          <w:szCs w:val="24"/>
        </w:rPr>
        <w:t xml:space="preserve">in vitro, </w:t>
      </w:r>
      <w:r w:rsidRPr="002B40FC">
        <w:rPr>
          <w:rFonts w:ascii="Times New Roman" w:hAnsi="Times New Roman"/>
          <w:sz w:val="24"/>
          <w:szCs w:val="24"/>
        </w:rPr>
        <w:t>a assepsia foi dividida em três partes, 1) utilização de detergente por 5 minutos, para quebra da tensão superficial intensificando a ação dos outros produtos; 2) submersão das sementes em álcool 70% por um minuto e 3) finalizando com uso de hipoclorito 50% por 30 minutos sob agitação constante. Após cada procedimento as sementes foram lavadas com água destilada até total eliminação dos produtos utilizados. A quebra de dormência ocorreu através da imersão em água fervente por 8 minutos.</w:t>
      </w:r>
    </w:p>
    <w:p w:rsidR="00857659" w:rsidRPr="002B40FC" w:rsidRDefault="00857659" w:rsidP="00460133">
      <w:pPr>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O estabelecimento </w:t>
      </w:r>
      <w:r w:rsidRPr="002B40FC">
        <w:rPr>
          <w:rFonts w:ascii="Times New Roman" w:hAnsi="Times New Roman"/>
          <w:i/>
          <w:sz w:val="24"/>
          <w:szCs w:val="24"/>
        </w:rPr>
        <w:t>in vitro</w:t>
      </w:r>
      <w:r w:rsidRPr="002B40FC">
        <w:rPr>
          <w:rFonts w:ascii="Times New Roman" w:hAnsi="Times New Roman"/>
          <w:sz w:val="24"/>
          <w:szCs w:val="24"/>
        </w:rPr>
        <w:t xml:space="preserve"> ocorreu no Laboratório de Biotecnologia do Instituto Federal Goiano - Câmpus Urutaí. As sementes foram inoculadas em meio MS, com diferentes concentrações de sais (macro e micronutrientes) (50 e 100%), combinados com quatro concentrações de sacarose (0; 15; 20 e 25 g.L</w:t>
      </w:r>
      <w:r w:rsidRPr="002B40FC">
        <w:rPr>
          <w:rFonts w:ascii="Times New Roman" w:hAnsi="Times New Roman"/>
          <w:sz w:val="24"/>
          <w:szCs w:val="24"/>
          <w:vertAlign w:val="superscript"/>
        </w:rPr>
        <w:t>-1</w:t>
      </w:r>
      <w:r w:rsidRPr="002B40FC">
        <w:rPr>
          <w:rFonts w:ascii="Times New Roman" w:hAnsi="Times New Roman"/>
          <w:sz w:val="24"/>
          <w:szCs w:val="24"/>
        </w:rPr>
        <w:t>) acrescidos com 1g.L</w:t>
      </w:r>
      <w:r w:rsidRPr="002B40FC">
        <w:rPr>
          <w:rFonts w:ascii="Times New Roman" w:hAnsi="Times New Roman"/>
          <w:sz w:val="24"/>
          <w:szCs w:val="24"/>
          <w:vertAlign w:val="superscript"/>
        </w:rPr>
        <w:t>-1</w:t>
      </w:r>
      <w:r w:rsidRPr="002B40FC">
        <w:rPr>
          <w:rFonts w:ascii="Times New Roman" w:hAnsi="Times New Roman"/>
          <w:sz w:val="24"/>
          <w:szCs w:val="24"/>
        </w:rPr>
        <w:t xml:space="preserve"> de BAP. O pH foi ajustado para 5,8 </w:t>
      </w:r>
      <w:r w:rsidRPr="002B40FC">
        <w:rPr>
          <w:rFonts w:ascii="Times New Roman" w:hAnsi="Times New Roman"/>
          <w:sz w:val="24"/>
          <w:szCs w:val="24"/>
          <w:u w:val="single"/>
        </w:rPr>
        <w:t>+</w:t>
      </w:r>
      <w:r w:rsidRPr="002B40FC">
        <w:rPr>
          <w:rFonts w:ascii="Times New Roman" w:hAnsi="Times New Roman"/>
          <w:sz w:val="24"/>
          <w:szCs w:val="24"/>
        </w:rPr>
        <w:t xml:space="preserve"> 2 antes da esterilização a 1,5 atm, a 120ºC por 20 minutos conforme metodologia de Rodrigues, (2010).</w:t>
      </w:r>
    </w:p>
    <w:p w:rsidR="00857659" w:rsidRPr="002B40FC" w:rsidRDefault="00857659" w:rsidP="00460133">
      <w:pPr>
        <w:tabs>
          <w:tab w:val="left" w:pos="567"/>
        </w:tabs>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A inoculação das sementes ocorreu em tubos de ensaio (25x150 mm), vedados com duas camadas de insulfilm, contendo 10 mL de meio e uma semente por frasco. Este procedimento realizou-se em câmara asséptica de fluxo laminar, para controle da assepsia. Após a inoculação, os tubos foram colocados em ambientes com meia luz por 7 dias para indução de germinação com temperatura de 25º </w:t>
      </w:r>
      <w:r w:rsidRPr="002B40FC">
        <w:rPr>
          <w:rFonts w:ascii="Times New Roman" w:hAnsi="Times New Roman"/>
          <w:sz w:val="24"/>
          <w:szCs w:val="24"/>
          <w:u w:val="single"/>
        </w:rPr>
        <w:t>+</w:t>
      </w:r>
      <w:r w:rsidRPr="002B40FC">
        <w:rPr>
          <w:rFonts w:ascii="Times New Roman" w:hAnsi="Times New Roman"/>
          <w:sz w:val="24"/>
          <w:szCs w:val="24"/>
        </w:rPr>
        <w:t xml:space="preserve"> 2ºC e luminosidade de microMols de 40W com lâmpadas fluorescentes e foto período de 16 horas.</w:t>
      </w:r>
    </w:p>
    <w:p w:rsidR="00857659" w:rsidRPr="002B40FC" w:rsidRDefault="00857659" w:rsidP="00460133">
      <w:pPr>
        <w:tabs>
          <w:tab w:val="left" w:pos="567"/>
        </w:tabs>
        <w:spacing w:after="0" w:line="360" w:lineRule="auto"/>
        <w:ind w:firstLine="567"/>
        <w:jc w:val="both"/>
        <w:rPr>
          <w:rFonts w:ascii="Times New Roman" w:hAnsi="Times New Roman"/>
          <w:sz w:val="24"/>
          <w:szCs w:val="24"/>
        </w:rPr>
      </w:pPr>
      <w:r w:rsidRPr="002B40FC">
        <w:rPr>
          <w:rFonts w:ascii="Times New Roman" w:hAnsi="Times New Roman"/>
          <w:sz w:val="24"/>
          <w:szCs w:val="24"/>
        </w:rPr>
        <w:t>O delineamento experimental foi inteiramente casualizado, em esquema fatorial 2x4, duas concentrações de meio MS (50 e 100%) e quatro de sacarose (0, 15, 20 e 25 g.L</w:t>
      </w:r>
      <w:r w:rsidRPr="002B40FC">
        <w:rPr>
          <w:rFonts w:ascii="Times New Roman" w:hAnsi="Times New Roman"/>
          <w:sz w:val="24"/>
          <w:szCs w:val="24"/>
          <w:vertAlign w:val="superscript"/>
        </w:rPr>
        <w:t>-1</w:t>
      </w:r>
      <w:r w:rsidRPr="002B40FC">
        <w:rPr>
          <w:rFonts w:ascii="Times New Roman" w:hAnsi="Times New Roman"/>
          <w:sz w:val="24"/>
          <w:szCs w:val="24"/>
        </w:rPr>
        <w:t xml:space="preserve">), totalizando 8 tratamentos com 15 repetições e em cada repetição 3 indivíduos, dessa forma, inoculou-se 360 indivíduos. </w:t>
      </w:r>
    </w:p>
    <w:p w:rsidR="00857659" w:rsidRPr="002B40FC" w:rsidRDefault="00857659" w:rsidP="00460133">
      <w:pPr>
        <w:tabs>
          <w:tab w:val="left" w:pos="567"/>
        </w:tabs>
        <w:spacing w:after="0" w:line="360" w:lineRule="auto"/>
        <w:ind w:firstLine="567"/>
        <w:jc w:val="both"/>
        <w:rPr>
          <w:rFonts w:ascii="Times New Roman" w:hAnsi="Times New Roman"/>
          <w:sz w:val="24"/>
          <w:szCs w:val="24"/>
        </w:rPr>
      </w:pPr>
      <w:r w:rsidRPr="002B40FC">
        <w:rPr>
          <w:rFonts w:ascii="Times New Roman" w:hAnsi="Times New Roman"/>
          <w:sz w:val="24"/>
          <w:szCs w:val="24"/>
        </w:rPr>
        <w:t xml:space="preserve">Os tratamentos foram dispostos da seguinte forma: </w:t>
      </w:r>
      <w:r w:rsidRPr="002B40FC">
        <w:rPr>
          <w:rFonts w:ascii="Times New Roman" w:hAnsi="Times New Roman"/>
          <w:b/>
          <w:sz w:val="24"/>
          <w:szCs w:val="24"/>
        </w:rPr>
        <w:t>T1</w:t>
      </w:r>
      <w:r w:rsidRPr="002B40FC">
        <w:rPr>
          <w:rFonts w:ascii="Times New Roman" w:hAnsi="Times New Roman"/>
          <w:sz w:val="24"/>
          <w:szCs w:val="24"/>
        </w:rPr>
        <w:t>- MS 50% e 0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r w:rsidRPr="002B40FC">
        <w:rPr>
          <w:rFonts w:ascii="Times New Roman" w:hAnsi="Times New Roman"/>
          <w:b/>
          <w:sz w:val="24"/>
          <w:szCs w:val="24"/>
        </w:rPr>
        <w:t>T2</w:t>
      </w:r>
      <w:r w:rsidRPr="002B40FC">
        <w:rPr>
          <w:rFonts w:ascii="Times New Roman" w:hAnsi="Times New Roman"/>
          <w:sz w:val="24"/>
          <w:szCs w:val="24"/>
        </w:rPr>
        <w:t>- MS 50% e 15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r w:rsidRPr="002B40FC">
        <w:rPr>
          <w:rFonts w:ascii="Times New Roman" w:hAnsi="Times New Roman"/>
          <w:b/>
          <w:sz w:val="24"/>
          <w:szCs w:val="24"/>
        </w:rPr>
        <w:t>T3-</w:t>
      </w:r>
      <w:r w:rsidRPr="002B40FC">
        <w:rPr>
          <w:rFonts w:ascii="Times New Roman" w:hAnsi="Times New Roman"/>
          <w:sz w:val="24"/>
          <w:szCs w:val="24"/>
        </w:rPr>
        <w:t xml:space="preserve"> MS 50% e 20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r w:rsidRPr="002B40FC">
        <w:rPr>
          <w:rFonts w:ascii="Times New Roman" w:hAnsi="Times New Roman"/>
          <w:b/>
          <w:sz w:val="24"/>
          <w:szCs w:val="24"/>
        </w:rPr>
        <w:t>T4</w:t>
      </w:r>
      <w:r w:rsidRPr="002B40FC">
        <w:rPr>
          <w:rFonts w:ascii="Times New Roman" w:hAnsi="Times New Roman"/>
          <w:sz w:val="24"/>
          <w:szCs w:val="24"/>
        </w:rPr>
        <w:t>- MS 50% e 25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r w:rsidRPr="002B40FC">
        <w:rPr>
          <w:rFonts w:ascii="Times New Roman" w:hAnsi="Times New Roman"/>
          <w:b/>
          <w:sz w:val="24"/>
          <w:szCs w:val="24"/>
        </w:rPr>
        <w:t>T5</w:t>
      </w:r>
      <w:r w:rsidRPr="002B40FC">
        <w:rPr>
          <w:rFonts w:ascii="Times New Roman" w:hAnsi="Times New Roman"/>
          <w:sz w:val="24"/>
          <w:szCs w:val="24"/>
        </w:rPr>
        <w:t>- MS 100% e 0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r w:rsidRPr="002B40FC">
        <w:rPr>
          <w:rFonts w:ascii="Times New Roman" w:hAnsi="Times New Roman"/>
          <w:b/>
          <w:sz w:val="24"/>
          <w:szCs w:val="24"/>
        </w:rPr>
        <w:t>T6</w:t>
      </w:r>
      <w:r w:rsidRPr="002B40FC">
        <w:rPr>
          <w:rFonts w:ascii="Times New Roman" w:hAnsi="Times New Roman"/>
          <w:sz w:val="24"/>
          <w:szCs w:val="24"/>
        </w:rPr>
        <w:t>- MS 100% e 15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 </w:t>
      </w:r>
    </w:p>
    <w:p w:rsidR="00857659" w:rsidRPr="002B40FC" w:rsidRDefault="00857659" w:rsidP="00460133">
      <w:pPr>
        <w:tabs>
          <w:tab w:val="left" w:pos="567"/>
        </w:tabs>
        <w:spacing w:after="0" w:line="360" w:lineRule="auto"/>
        <w:jc w:val="both"/>
        <w:rPr>
          <w:rFonts w:ascii="Times New Roman" w:hAnsi="Times New Roman"/>
          <w:sz w:val="24"/>
          <w:szCs w:val="24"/>
        </w:rPr>
      </w:pPr>
      <w:r w:rsidRPr="002B40FC">
        <w:rPr>
          <w:rFonts w:ascii="Times New Roman" w:hAnsi="Times New Roman"/>
          <w:b/>
          <w:sz w:val="24"/>
          <w:szCs w:val="24"/>
        </w:rPr>
        <w:t>T7</w:t>
      </w:r>
      <w:r w:rsidRPr="002B40FC">
        <w:rPr>
          <w:rFonts w:ascii="Times New Roman" w:hAnsi="Times New Roman"/>
          <w:sz w:val="24"/>
          <w:szCs w:val="24"/>
        </w:rPr>
        <w:t>- MS 100% e 20 g.L</w:t>
      </w:r>
      <w:r w:rsidRPr="002B40FC">
        <w:rPr>
          <w:rFonts w:ascii="Times New Roman" w:hAnsi="Times New Roman"/>
          <w:sz w:val="24"/>
          <w:szCs w:val="24"/>
          <w:vertAlign w:val="superscript"/>
        </w:rPr>
        <w:t>-1</w:t>
      </w:r>
      <w:r w:rsidR="0078518C" w:rsidRPr="002B40FC">
        <w:rPr>
          <w:rFonts w:ascii="Times New Roman" w:hAnsi="Times New Roman"/>
          <w:sz w:val="24"/>
          <w:szCs w:val="24"/>
        </w:rPr>
        <w:t xml:space="preserve"> de sacarose e </w:t>
      </w:r>
      <w:r w:rsidRPr="002B40FC">
        <w:rPr>
          <w:rFonts w:ascii="Times New Roman" w:hAnsi="Times New Roman"/>
          <w:b/>
          <w:sz w:val="24"/>
          <w:szCs w:val="24"/>
        </w:rPr>
        <w:t>T8-</w:t>
      </w:r>
      <w:r w:rsidRPr="002B40FC">
        <w:rPr>
          <w:rFonts w:ascii="Times New Roman" w:hAnsi="Times New Roman"/>
          <w:sz w:val="24"/>
          <w:szCs w:val="24"/>
        </w:rPr>
        <w:t xml:space="preserve"> MS 100% e 25 g.L</w:t>
      </w:r>
      <w:r w:rsidRPr="002B40FC">
        <w:rPr>
          <w:rFonts w:ascii="Times New Roman" w:hAnsi="Times New Roman"/>
          <w:sz w:val="24"/>
          <w:szCs w:val="24"/>
          <w:vertAlign w:val="superscript"/>
        </w:rPr>
        <w:t>-1</w:t>
      </w:r>
      <w:r w:rsidRPr="002B40FC">
        <w:rPr>
          <w:rFonts w:ascii="Times New Roman" w:hAnsi="Times New Roman"/>
          <w:sz w:val="24"/>
          <w:szCs w:val="24"/>
        </w:rPr>
        <w:t xml:space="preserve"> de sacarose.</w:t>
      </w:r>
    </w:p>
    <w:p w:rsidR="00857659" w:rsidRPr="002B40FC" w:rsidRDefault="00857659" w:rsidP="00460133">
      <w:pPr>
        <w:tabs>
          <w:tab w:val="left" w:pos="567"/>
        </w:tabs>
        <w:spacing w:after="0" w:line="360" w:lineRule="auto"/>
        <w:ind w:firstLine="567"/>
        <w:jc w:val="both"/>
        <w:rPr>
          <w:rFonts w:ascii="Times New Roman" w:hAnsi="Times New Roman"/>
          <w:color w:val="000000"/>
          <w:sz w:val="24"/>
          <w:szCs w:val="24"/>
        </w:rPr>
      </w:pPr>
      <w:r w:rsidRPr="002B40FC">
        <w:rPr>
          <w:rFonts w:ascii="Times New Roman" w:hAnsi="Times New Roman"/>
          <w:color w:val="000000"/>
          <w:sz w:val="24"/>
          <w:szCs w:val="24"/>
        </w:rPr>
        <w:t xml:space="preserve">As variáveis foram avaliadas através de análise de regressão: </w:t>
      </w:r>
      <w:r w:rsidRPr="002B40FC">
        <w:rPr>
          <w:rFonts w:ascii="Times New Roman" w:hAnsi="Times New Roman"/>
          <w:sz w:val="24"/>
          <w:szCs w:val="24"/>
        </w:rPr>
        <w:t>germinação, par de folhas, comprimento radicular e de parte aérea, massa seca e fresca das plântulas, calogênese, senescência e contaminação</w:t>
      </w:r>
      <w:r w:rsidRPr="002B40FC">
        <w:rPr>
          <w:rFonts w:ascii="Times New Roman" w:hAnsi="Times New Roman"/>
          <w:color w:val="000000"/>
          <w:sz w:val="24"/>
          <w:szCs w:val="24"/>
        </w:rPr>
        <w:t>.</w:t>
      </w:r>
    </w:p>
    <w:p w:rsidR="00857659" w:rsidRPr="002B40FC" w:rsidRDefault="00857659" w:rsidP="00460133">
      <w:pPr>
        <w:tabs>
          <w:tab w:val="left" w:pos="567"/>
        </w:tabs>
        <w:spacing w:after="0" w:line="360" w:lineRule="auto"/>
        <w:ind w:firstLine="567"/>
        <w:jc w:val="both"/>
        <w:rPr>
          <w:rFonts w:ascii="Times New Roman" w:eastAsia="Arial" w:hAnsi="Times New Roman"/>
          <w:b/>
          <w:sz w:val="24"/>
          <w:szCs w:val="24"/>
        </w:rPr>
      </w:pPr>
      <w:r w:rsidRPr="002B40FC">
        <w:rPr>
          <w:rFonts w:ascii="Times New Roman" w:hAnsi="Times New Roman"/>
          <w:color w:val="000000"/>
          <w:sz w:val="24"/>
          <w:szCs w:val="24"/>
        </w:rPr>
        <w:lastRenderedPageBreak/>
        <w:t>Os dados em porcentagem, foram transformados em arcsen</w:t>
      </w:r>
      <w:r w:rsidR="00D821F2">
        <w:rPr>
          <w:rFonts w:ascii="Times New Roman" w:hAnsi="Times New Roman"/>
          <w:color w:val="000000"/>
          <w:sz w:val="24"/>
          <w:szCs w:val="24"/>
        </w:rPr>
        <w:t>,</w:t>
      </w:r>
      <w:r w:rsidRPr="002B40FC">
        <w:rPr>
          <w:rFonts w:ascii="Times New Roman" w:hAnsi="Times New Roman"/>
          <w:color w:val="000000"/>
          <w:sz w:val="24"/>
          <w:szCs w:val="24"/>
        </w:rPr>
        <w:t xml:space="preserve"> </w:t>
      </w:r>
      <m:oMath>
        <m:r>
          <w:rPr>
            <w:rFonts w:ascii="Cambria Math" w:hAnsi="Cambria Math"/>
            <w:color w:val="000000"/>
            <w:sz w:val="24"/>
            <w:szCs w:val="24"/>
          </w:rPr>
          <m:t>1. √ (x</m:t>
        </m:r>
        <m:r>
          <m:rPr>
            <m:sty m:val="p"/>
          </m:rPr>
          <w:rPr>
            <w:rFonts w:ascii="Cambria Math" w:hAnsi="Cambria Math"/>
            <w:color w:val="000000"/>
            <w:sz w:val="24"/>
            <w:szCs w:val="24"/>
          </w:rPr>
          <m:t>/100)</m:t>
        </m:r>
      </m:oMath>
      <w:r w:rsidRPr="002B40FC">
        <w:rPr>
          <w:rFonts w:ascii="Times New Roman" w:hAnsi="Times New Roman"/>
          <w:color w:val="000000"/>
          <w:sz w:val="24"/>
          <w:szCs w:val="24"/>
        </w:rPr>
        <w:t xml:space="preserve">, já os dados quantitativos, foram transformados por </w:t>
      </w:r>
      <w:r w:rsidR="0049528F" w:rsidRPr="002B40FC">
        <w:rPr>
          <w:rFonts w:ascii="Times New Roman" w:hAnsi="Times New Roman"/>
          <w:color w:val="000000"/>
          <w:sz w:val="24"/>
          <w:szCs w:val="24"/>
        </w:rPr>
        <w:t xml:space="preserve">2. </w:t>
      </w:r>
      <m:oMath>
        <m:rad>
          <m:radPr>
            <m:degHide m:val="1"/>
            <m:ctrlPr>
              <w:rPr>
                <w:rFonts w:ascii="Cambria Math" w:hAnsi="Cambria Math"/>
                <w:i/>
                <w:sz w:val="24"/>
                <w:szCs w:val="24"/>
              </w:rPr>
            </m:ctrlPr>
          </m:radPr>
          <m:deg/>
          <m:e>
            <m:r>
              <w:rPr>
                <w:rFonts w:ascii="Cambria Math" w:hAnsi="Cambria Math"/>
                <w:sz w:val="24"/>
                <w:szCs w:val="24"/>
              </w:rPr>
              <m:t>(x+1</m:t>
            </m:r>
          </m:e>
        </m:rad>
        <m:r>
          <w:rPr>
            <w:rFonts w:ascii="Cambria Math" w:hAnsi="Cambria Math"/>
            <w:sz w:val="24"/>
            <w:szCs w:val="24"/>
          </w:rPr>
          <m:t>)</m:t>
        </m:r>
      </m:oMath>
      <w:r w:rsidRPr="002B40FC">
        <w:rPr>
          <w:rFonts w:ascii="Times New Roman" w:hAnsi="Times New Roman"/>
          <w:color w:val="000000"/>
          <w:sz w:val="24"/>
          <w:szCs w:val="24"/>
        </w:rPr>
        <w:t xml:space="preserve"> com o intuito de se ter homogeneidade e normalidade nos dados, em seguida, foram submetidos a análise de variância (ANOVA) e as médias comparadas pelo teste de Tukey através do programa ASSISTAT na versão 7.7 beta (SILVA, 2014).</w:t>
      </w:r>
      <w:r w:rsidRPr="002B40FC">
        <w:rPr>
          <w:rFonts w:ascii="Times New Roman" w:eastAsia="Arial" w:hAnsi="Times New Roman"/>
          <w:b/>
          <w:sz w:val="24"/>
          <w:szCs w:val="24"/>
        </w:rPr>
        <w:t xml:space="preserve"> </w:t>
      </w:r>
    </w:p>
    <w:p w:rsidR="000630E8" w:rsidRPr="002B40FC" w:rsidRDefault="000630E8" w:rsidP="00460133">
      <w:pPr>
        <w:tabs>
          <w:tab w:val="left" w:pos="567"/>
        </w:tabs>
        <w:spacing w:after="0" w:line="360" w:lineRule="auto"/>
        <w:jc w:val="both"/>
        <w:rPr>
          <w:rFonts w:ascii="Times New Roman" w:eastAsia="Arial" w:hAnsi="Times New Roman"/>
          <w:b/>
          <w:sz w:val="24"/>
          <w:szCs w:val="24"/>
        </w:rPr>
      </w:pPr>
    </w:p>
    <w:p w:rsidR="0007095E" w:rsidRPr="002B40FC" w:rsidRDefault="0024369A" w:rsidP="00460133">
      <w:pPr>
        <w:tabs>
          <w:tab w:val="left" w:pos="567"/>
        </w:tabs>
        <w:spacing w:after="0" w:line="360" w:lineRule="auto"/>
        <w:jc w:val="both"/>
        <w:rPr>
          <w:rFonts w:ascii="Times New Roman" w:hAnsi="Times New Roman"/>
          <w:color w:val="000000"/>
          <w:sz w:val="24"/>
          <w:szCs w:val="24"/>
        </w:rPr>
      </w:pPr>
      <w:r w:rsidRPr="002B40FC">
        <w:rPr>
          <w:rFonts w:ascii="Times New Roman" w:eastAsia="Arial" w:hAnsi="Times New Roman"/>
          <w:b/>
          <w:sz w:val="24"/>
          <w:szCs w:val="24"/>
        </w:rPr>
        <w:t>RESULTADOS E DISCUSSÃO</w:t>
      </w:r>
    </w:p>
    <w:p w:rsidR="00857659" w:rsidRPr="002B40FC" w:rsidRDefault="0007095E" w:rsidP="00460133">
      <w:pPr>
        <w:tabs>
          <w:tab w:val="left" w:pos="567"/>
        </w:tabs>
        <w:spacing w:after="0" w:line="360" w:lineRule="auto"/>
        <w:ind w:firstLine="567"/>
        <w:jc w:val="both"/>
        <w:rPr>
          <w:rFonts w:ascii="Times New Roman" w:hAnsi="Times New Roman"/>
          <w:color w:val="000000"/>
          <w:sz w:val="24"/>
          <w:szCs w:val="24"/>
        </w:rPr>
      </w:pPr>
      <w:r w:rsidRPr="002B40FC">
        <w:rPr>
          <w:rFonts w:ascii="Times New Roman" w:hAnsi="Times New Roman"/>
          <w:color w:val="000000"/>
          <w:sz w:val="24"/>
          <w:szCs w:val="24"/>
        </w:rPr>
        <w:tab/>
      </w:r>
      <w:r w:rsidR="00857659" w:rsidRPr="002B40FC">
        <w:rPr>
          <w:rFonts w:ascii="Times New Roman" w:eastAsia="Arial" w:hAnsi="Times New Roman"/>
          <w:sz w:val="24"/>
          <w:szCs w:val="24"/>
        </w:rPr>
        <w:t xml:space="preserve">As sementes de pau-de-balsa iniciaram o processo de germinação </w:t>
      </w:r>
      <w:r w:rsidR="00857659" w:rsidRPr="002B40FC">
        <w:rPr>
          <w:rFonts w:ascii="Times New Roman" w:eastAsia="Arial" w:hAnsi="Times New Roman"/>
          <w:i/>
          <w:sz w:val="24"/>
          <w:szCs w:val="24"/>
        </w:rPr>
        <w:t>in vitro</w:t>
      </w:r>
      <w:r w:rsidR="00857659" w:rsidRPr="002B40FC">
        <w:rPr>
          <w:rFonts w:ascii="Times New Roman" w:eastAsia="Arial" w:hAnsi="Times New Roman"/>
          <w:sz w:val="24"/>
          <w:szCs w:val="24"/>
        </w:rPr>
        <w:t xml:space="preserve"> após três dias da inoculação, caracterizada pela emissão de protusão da raiz primária &gt; 2 mm, onde os maiores índices de emergências foram do terceiro ao décimo dia.</w:t>
      </w:r>
    </w:p>
    <w:p w:rsidR="00553746" w:rsidRPr="002B40FC" w:rsidRDefault="00857659" w:rsidP="00460133">
      <w:pPr>
        <w:tabs>
          <w:tab w:val="left" w:pos="567"/>
        </w:tabs>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A concentração de sais do meio MS influenciou significativamente a germinação, obteve-se a maior porcentagem em 50% de MS (Figura 1A). O mesmo comportamento foi notado para a variável par de folhas, comprimento radicular e parte aérea da plântula, porém, para massa seca, não houve diferença significativa nas con</w:t>
      </w:r>
      <w:r w:rsidR="005479E6" w:rsidRPr="002B40FC">
        <w:rPr>
          <w:rFonts w:ascii="Times New Roman" w:eastAsia="Arial" w:hAnsi="Times New Roman"/>
          <w:sz w:val="24"/>
          <w:szCs w:val="24"/>
        </w:rPr>
        <w:t>centrações dos sais (Figura 1B)</w:t>
      </w:r>
      <w:r w:rsidR="006867C5" w:rsidRPr="002B40FC">
        <w:rPr>
          <w:rFonts w:ascii="Times New Roman" w:eastAsia="Arial" w:hAnsi="Times New Roman"/>
          <w:sz w:val="24"/>
          <w:szCs w:val="24"/>
        </w:rPr>
        <w:t>.</w:t>
      </w:r>
    </w:p>
    <w:p w:rsidR="002D2835" w:rsidRPr="002B40FC" w:rsidRDefault="00A24DB2" w:rsidP="00460133">
      <w:pPr>
        <w:tabs>
          <w:tab w:val="left" w:pos="567"/>
        </w:tabs>
        <w:spacing w:after="0" w:line="360" w:lineRule="auto"/>
        <w:jc w:val="both"/>
        <w:rPr>
          <w:rFonts w:ascii="Times New Roman" w:eastAsia="Arial" w:hAnsi="Times New Roman"/>
          <w:sz w:val="24"/>
          <w:szCs w:val="24"/>
        </w:rPr>
      </w:pPr>
      <w:r w:rsidRPr="002B40FC">
        <w:rPr>
          <w:rFonts w:ascii="Times New Roman" w:eastAsia="Arial" w:hAnsi="Times New Roman"/>
          <w:noProof/>
          <w:sz w:val="24"/>
          <w:szCs w:val="24"/>
          <w:lang w:eastAsia="pt-BR"/>
        </w:rPr>
        <w:drawing>
          <wp:inline distT="0" distB="0" distL="0" distR="0">
            <wp:extent cx="5742394" cy="2108736"/>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1.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02" t="1629" r="579"/>
                    <a:stretch/>
                  </pic:blipFill>
                  <pic:spPr bwMode="auto">
                    <a:xfrm>
                      <a:off x="0" y="0"/>
                      <a:ext cx="5744335" cy="2109449"/>
                    </a:xfrm>
                    <a:prstGeom prst="rect">
                      <a:avLst/>
                    </a:prstGeom>
                    <a:ln>
                      <a:noFill/>
                    </a:ln>
                    <a:extLst>
                      <a:ext uri="{53640926-AAD7-44D8-BBD7-CCE9431645EC}">
                        <a14:shadowObscured xmlns:a14="http://schemas.microsoft.com/office/drawing/2010/main"/>
                      </a:ext>
                    </a:extLst>
                  </pic:spPr>
                </pic:pic>
              </a:graphicData>
            </a:graphic>
          </wp:inline>
        </w:drawing>
      </w:r>
    </w:p>
    <w:p w:rsidR="001C0E7D" w:rsidRPr="002B40FC" w:rsidRDefault="001C0E7D" w:rsidP="00460133">
      <w:pPr>
        <w:tabs>
          <w:tab w:val="left" w:pos="567"/>
        </w:tabs>
        <w:spacing w:after="0" w:line="360" w:lineRule="auto"/>
        <w:jc w:val="both"/>
        <w:rPr>
          <w:rFonts w:ascii="Times New Roman" w:eastAsia="Arial" w:hAnsi="Times New Roman"/>
          <w:b/>
          <w:sz w:val="24"/>
          <w:szCs w:val="24"/>
        </w:rPr>
        <w:sectPr w:rsidR="001C0E7D" w:rsidRPr="002B40FC" w:rsidSect="005E3B0A">
          <w:headerReference w:type="default" r:id="rId10"/>
          <w:footerReference w:type="default" r:id="rId11"/>
          <w:type w:val="continuous"/>
          <w:pgSz w:w="11906" w:h="16838"/>
          <w:pgMar w:top="1418" w:right="1418" w:bottom="1418" w:left="1418" w:header="708" w:footer="708" w:gutter="0"/>
          <w:lnNumType w:countBy="1" w:restart="continuous"/>
          <w:cols w:space="708"/>
          <w:docGrid w:linePitch="360"/>
        </w:sectPr>
      </w:pPr>
    </w:p>
    <w:p w:rsidR="00553746" w:rsidRDefault="0007095E" w:rsidP="00460133">
      <w:pPr>
        <w:tabs>
          <w:tab w:val="left" w:pos="567"/>
        </w:tabs>
        <w:spacing w:after="0" w:line="360" w:lineRule="auto"/>
        <w:jc w:val="both"/>
        <w:rPr>
          <w:rFonts w:ascii="Times New Roman" w:eastAsia="Arial" w:hAnsi="Times New Roman"/>
          <w:i/>
          <w:sz w:val="20"/>
          <w:szCs w:val="24"/>
        </w:rPr>
      </w:pPr>
      <w:r w:rsidRPr="00553746">
        <w:rPr>
          <w:rFonts w:ascii="Times New Roman" w:eastAsia="Arial" w:hAnsi="Times New Roman"/>
          <w:b/>
          <w:sz w:val="20"/>
          <w:szCs w:val="24"/>
        </w:rPr>
        <w:t xml:space="preserve">Figura 1. </w:t>
      </w:r>
      <w:r w:rsidRPr="00553746">
        <w:rPr>
          <w:rFonts w:ascii="Times New Roman" w:eastAsia="Arial" w:hAnsi="Times New Roman"/>
          <w:sz w:val="20"/>
          <w:szCs w:val="24"/>
        </w:rPr>
        <w:t xml:space="preserve">Porcentagem de germinação em relação a concentração dos sais de MS (A), número de par de folhas, comprimento radicular, parte aérea e massa seca (B) em </w:t>
      </w:r>
      <w:r w:rsidRPr="00553746">
        <w:rPr>
          <w:rFonts w:ascii="Times New Roman" w:eastAsia="Arial" w:hAnsi="Times New Roman"/>
          <w:i/>
          <w:sz w:val="20"/>
          <w:szCs w:val="24"/>
        </w:rPr>
        <w:t>Ochroma pyramidales.</w:t>
      </w:r>
    </w:p>
    <w:p w:rsidR="008329EC" w:rsidRPr="00553746" w:rsidRDefault="0007095E" w:rsidP="00460133">
      <w:pPr>
        <w:tabs>
          <w:tab w:val="left" w:pos="567"/>
        </w:tabs>
        <w:spacing w:line="360" w:lineRule="auto"/>
        <w:jc w:val="both"/>
        <w:rPr>
          <w:rFonts w:ascii="Times New Roman" w:eastAsia="Arial" w:hAnsi="Times New Roman"/>
          <w:i/>
          <w:sz w:val="20"/>
          <w:szCs w:val="24"/>
        </w:rPr>
      </w:pPr>
      <w:r w:rsidRPr="00553746">
        <w:rPr>
          <w:rFonts w:ascii="Times New Roman" w:eastAsia="Arial" w:hAnsi="Times New Roman"/>
          <w:sz w:val="20"/>
          <w:szCs w:val="24"/>
        </w:rPr>
        <w:t>** As médias seguidas de mesma letra não diferem entre si pelo Teste Tukey a 1% de probabilidade.</w:t>
      </w:r>
    </w:p>
    <w:p w:rsidR="00B3624E" w:rsidRPr="002B40FC" w:rsidRDefault="008329EC" w:rsidP="00460133">
      <w:pPr>
        <w:tabs>
          <w:tab w:val="left" w:pos="567"/>
        </w:tabs>
        <w:spacing w:line="360" w:lineRule="auto"/>
        <w:jc w:val="both"/>
        <w:rPr>
          <w:rFonts w:ascii="Times New Roman" w:eastAsia="Arial" w:hAnsi="Times New Roman"/>
          <w:sz w:val="24"/>
          <w:szCs w:val="24"/>
        </w:rPr>
      </w:pPr>
      <w:r w:rsidRPr="002B40FC">
        <w:rPr>
          <w:rFonts w:ascii="Times New Roman" w:hAnsi="Times New Roman"/>
          <w:color w:val="000000"/>
          <w:sz w:val="24"/>
          <w:szCs w:val="24"/>
        </w:rPr>
        <w:tab/>
      </w:r>
      <w:r w:rsidR="0007095E" w:rsidRPr="002B40FC">
        <w:rPr>
          <w:rFonts w:ascii="Times New Roman" w:eastAsia="Arial" w:hAnsi="Times New Roman"/>
          <w:sz w:val="24"/>
          <w:szCs w:val="24"/>
        </w:rPr>
        <w:t>Resultado semelhante foi obtido por Araújo et al., (2015), trabalhando com gloxínia eles perceberam que o meio MS 50%, resultou nas melhores médias para número de folhas e brotos. Reis et al., (2015) observaram que a maior concentração de sais no meio de cultura interferiu no potencial osmótico e, consequentemente, na disponibilidade de água para o processo de embebição da semente durante a germinação, o que afetou diretamente o número de par de folhas, comprimento radicular e massa seca.</w:t>
      </w:r>
      <w:r w:rsidR="00B3624E" w:rsidRPr="002B40FC">
        <w:rPr>
          <w:rFonts w:ascii="Times New Roman" w:eastAsia="Arial" w:hAnsi="Times New Roman"/>
          <w:sz w:val="24"/>
          <w:szCs w:val="24"/>
        </w:rPr>
        <w:t xml:space="preserve"> </w:t>
      </w:r>
    </w:p>
    <w:p w:rsidR="00271145" w:rsidRPr="002B40FC" w:rsidRDefault="00B3624E" w:rsidP="0019202F">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Com relação ao efeito da sacarose, independentemente da concentração de sais do meio, pode-se observar que o aumento de sacarose não favoreceu o aumento no par de folhas,</w:t>
      </w:r>
      <w:r w:rsidR="0019202F">
        <w:rPr>
          <w:rFonts w:ascii="Times New Roman" w:eastAsia="Arial" w:hAnsi="Times New Roman"/>
          <w:sz w:val="24"/>
          <w:szCs w:val="24"/>
        </w:rPr>
        <w:t xml:space="preserve"> </w:t>
      </w:r>
      <w:r w:rsidRPr="002B40FC">
        <w:rPr>
          <w:rFonts w:ascii="Times New Roman" w:eastAsia="Arial" w:hAnsi="Times New Roman"/>
          <w:sz w:val="24"/>
          <w:szCs w:val="24"/>
        </w:rPr>
        <w:lastRenderedPageBreak/>
        <w:t xml:space="preserve">comprimento radicular e germinação da semente (Figura 2A, 2B e </w:t>
      </w:r>
      <w:r w:rsidR="00271145" w:rsidRPr="002B40FC">
        <w:rPr>
          <w:rFonts w:ascii="Times New Roman" w:eastAsia="Arial" w:hAnsi="Times New Roman"/>
          <w:sz w:val="24"/>
          <w:szCs w:val="24"/>
        </w:rPr>
        <w:t>3B</w:t>
      </w:r>
      <w:r w:rsidRPr="002B40FC">
        <w:rPr>
          <w:rFonts w:ascii="Times New Roman" w:eastAsia="Arial" w:hAnsi="Times New Roman"/>
          <w:sz w:val="24"/>
          <w:szCs w:val="24"/>
        </w:rPr>
        <w:t>).</w:t>
      </w:r>
      <w:r w:rsidR="0019202F">
        <w:rPr>
          <w:rFonts w:ascii="Times New Roman" w:eastAsia="Arial" w:hAnsi="Times New Roman"/>
          <w:noProof/>
          <w:sz w:val="24"/>
          <w:szCs w:val="24"/>
          <w:lang w:eastAsia="pt-BR"/>
        </w:rPr>
        <w:drawing>
          <wp:inline distT="0" distB="0" distL="0" distR="0">
            <wp:extent cx="5759450" cy="2338794"/>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2.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230" b="-1"/>
                    <a:stretch/>
                  </pic:blipFill>
                  <pic:spPr bwMode="auto">
                    <a:xfrm>
                      <a:off x="0" y="0"/>
                      <a:ext cx="5759450" cy="2338794"/>
                    </a:xfrm>
                    <a:prstGeom prst="rect">
                      <a:avLst/>
                    </a:prstGeom>
                    <a:ln>
                      <a:noFill/>
                    </a:ln>
                    <a:extLst>
                      <a:ext uri="{53640926-AAD7-44D8-BBD7-CCE9431645EC}">
                        <a14:shadowObscured xmlns:a14="http://schemas.microsoft.com/office/drawing/2010/main"/>
                      </a:ext>
                    </a:extLst>
                  </pic:spPr>
                </pic:pic>
              </a:graphicData>
            </a:graphic>
          </wp:inline>
        </w:drawing>
      </w:r>
    </w:p>
    <w:p w:rsidR="0007095E" w:rsidRPr="00863862" w:rsidRDefault="0007095E" w:rsidP="00460133">
      <w:pPr>
        <w:autoSpaceDE w:val="0"/>
        <w:autoSpaceDN w:val="0"/>
        <w:adjustRightInd w:val="0"/>
        <w:spacing w:after="0" w:line="360" w:lineRule="auto"/>
        <w:jc w:val="both"/>
        <w:rPr>
          <w:rFonts w:ascii="Times New Roman" w:eastAsia="Arial" w:hAnsi="Times New Roman"/>
          <w:b/>
          <w:sz w:val="20"/>
          <w:szCs w:val="24"/>
        </w:rPr>
      </w:pPr>
      <w:r w:rsidRPr="00863862">
        <w:rPr>
          <w:rFonts w:ascii="Times New Roman" w:eastAsia="Arial" w:hAnsi="Times New Roman"/>
          <w:b/>
          <w:sz w:val="20"/>
          <w:szCs w:val="24"/>
        </w:rPr>
        <w:t>Figura 2.</w:t>
      </w:r>
      <w:r w:rsidRPr="00863862">
        <w:rPr>
          <w:rFonts w:ascii="Times New Roman" w:eastAsia="Arial" w:hAnsi="Times New Roman"/>
          <w:sz w:val="20"/>
          <w:szCs w:val="24"/>
        </w:rPr>
        <w:t xml:space="preserve"> Número de par de folhas (A), comprimento radicular (B</w:t>
      </w:r>
      <w:r w:rsidR="00271145" w:rsidRPr="00863862">
        <w:rPr>
          <w:rFonts w:ascii="Times New Roman" w:eastAsia="Arial" w:hAnsi="Times New Roman"/>
          <w:sz w:val="20"/>
          <w:szCs w:val="24"/>
        </w:rPr>
        <w:t xml:space="preserve">) </w:t>
      </w:r>
      <w:r w:rsidRPr="00863862">
        <w:rPr>
          <w:rFonts w:ascii="Times New Roman" w:eastAsia="Arial" w:hAnsi="Times New Roman"/>
          <w:sz w:val="20"/>
          <w:szCs w:val="24"/>
        </w:rPr>
        <w:t>em função das concentrações de sacarose.</w:t>
      </w:r>
    </w:p>
    <w:p w:rsidR="0007095E" w:rsidRPr="00863862" w:rsidRDefault="0007095E" w:rsidP="00460133">
      <w:pPr>
        <w:autoSpaceDE w:val="0"/>
        <w:autoSpaceDN w:val="0"/>
        <w:adjustRightInd w:val="0"/>
        <w:spacing w:after="0"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1% de probabilidade</w:t>
      </w:r>
      <w:r w:rsidR="008329EC" w:rsidRPr="00863862">
        <w:rPr>
          <w:rFonts w:ascii="Times New Roman" w:eastAsia="Arial" w:hAnsi="Times New Roman"/>
          <w:sz w:val="20"/>
          <w:szCs w:val="24"/>
        </w:rPr>
        <w:t>.</w:t>
      </w:r>
      <w:r w:rsidRPr="00863862">
        <w:rPr>
          <w:rFonts w:ascii="Times New Roman" w:eastAsia="Arial" w:hAnsi="Times New Roman"/>
          <w:sz w:val="20"/>
          <w:szCs w:val="24"/>
        </w:rPr>
        <w:t xml:space="preserve"> </w:t>
      </w:r>
    </w:p>
    <w:p w:rsidR="0019202F" w:rsidRDefault="0007095E"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5% de probabilidade</w:t>
      </w:r>
      <w:r w:rsidR="008329EC" w:rsidRPr="00863862">
        <w:rPr>
          <w:rFonts w:ascii="Times New Roman" w:eastAsia="Arial" w:hAnsi="Times New Roman"/>
          <w:sz w:val="20"/>
          <w:szCs w:val="24"/>
        </w:rPr>
        <w:t>.</w:t>
      </w:r>
    </w:p>
    <w:p w:rsidR="00863862" w:rsidRPr="0019202F" w:rsidRDefault="0019202F" w:rsidP="0019202F">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Para massa seca, o aumento na concentração de sacarose proporcionou consequentemente, o aumento na massa seca (Figura 3A).</w:t>
      </w:r>
    </w:p>
    <w:p w:rsidR="003F6D76" w:rsidRPr="002B40FC" w:rsidRDefault="00A24DB2" w:rsidP="00460133">
      <w:pPr>
        <w:autoSpaceDE w:val="0"/>
        <w:autoSpaceDN w:val="0"/>
        <w:adjustRightInd w:val="0"/>
        <w:spacing w:after="0" w:line="360" w:lineRule="auto"/>
        <w:jc w:val="both"/>
        <w:rPr>
          <w:rFonts w:ascii="Times New Roman" w:eastAsia="Arial" w:hAnsi="Times New Roman"/>
          <w:b/>
          <w:sz w:val="24"/>
          <w:szCs w:val="24"/>
        </w:rPr>
      </w:pPr>
      <w:r w:rsidRPr="002B40FC">
        <w:rPr>
          <w:rFonts w:ascii="Times New Roman" w:eastAsia="Arial" w:hAnsi="Times New Roman"/>
          <w:b/>
          <w:noProof/>
          <w:sz w:val="24"/>
          <w:szCs w:val="24"/>
          <w:lang w:eastAsia="pt-BR"/>
        </w:rPr>
        <w:drawing>
          <wp:inline distT="0" distB="0" distL="0" distR="0">
            <wp:extent cx="5715701" cy="2259791"/>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3.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711" t="2039" b="1419"/>
                    <a:stretch/>
                  </pic:blipFill>
                  <pic:spPr bwMode="auto">
                    <a:xfrm>
                      <a:off x="0" y="0"/>
                      <a:ext cx="5716905" cy="2260267"/>
                    </a:xfrm>
                    <a:prstGeom prst="rect">
                      <a:avLst/>
                    </a:prstGeom>
                    <a:ln>
                      <a:noFill/>
                    </a:ln>
                    <a:extLst>
                      <a:ext uri="{53640926-AAD7-44D8-BBD7-CCE9431645EC}">
                        <a14:shadowObscured xmlns:a14="http://schemas.microsoft.com/office/drawing/2010/main"/>
                      </a:ext>
                    </a:extLst>
                  </pic:spPr>
                </pic:pic>
              </a:graphicData>
            </a:graphic>
          </wp:inline>
        </w:drawing>
      </w:r>
    </w:p>
    <w:p w:rsidR="00271145" w:rsidRPr="00863862" w:rsidRDefault="00271145" w:rsidP="00460133">
      <w:pPr>
        <w:autoSpaceDE w:val="0"/>
        <w:autoSpaceDN w:val="0"/>
        <w:adjustRightInd w:val="0"/>
        <w:spacing w:after="0" w:line="360" w:lineRule="auto"/>
        <w:jc w:val="both"/>
        <w:rPr>
          <w:rFonts w:ascii="Times New Roman" w:eastAsia="Arial" w:hAnsi="Times New Roman"/>
          <w:b/>
          <w:sz w:val="20"/>
          <w:szCs w:val="24"/>
        </w:rPr>
      </w:pPr>
      <w:r w:rsidRPr="00863862">
        <w:rPr>
          <w:rFonts w:ascii="Times New Roman" w:eastAsia="Arial" w:hAnsi="Times New Roman"/>
          <w:b/>
          <w:sz w:val="20"/>
          <w:szCs w:val="24"/>
        </w:rPr>
        <w:t>Figura 3.</w:t>
      </w:r>
      <w:r w:rsidRPr="00863862">
        <w:rPr>
          <w:rFonts w:ascii="Times New Roman" w:eastAsia="Arial" w:hAnsi="Times New Roman"/>
          <w:sz w:val="20"/>
          <w:szCs w:val="24"/>
        </w:rPr>
        <w:t xml:space="preserve"> Massa seca (A) e porcentagem de germinação (B) em função das concentrações de sacarose.</w:t>
      </w:r>
    </w:p>
    <w:p w:rsidR="00271145" w:rsidRPr="00863862" w:rsidRDefault="00271145" w:rsidP="00460133">
      <w:pPr>
        <w:autoSpaceDE w:val="0"/>
        <w:autoSpaceDN w:val="0"/>
        <w:adjustRightInd w:val="0"/>
        <w:spacing w:after="0" w:line="360" w:lineRule="auto"/>
        <w:jc w:val="both"/>
        <w:rPr>
          <w:rFonts w:ascii="Times New Roman" w:eastAsia="Arial" w:hAnsi="Times New Roman"/>
          <w:sz w:val="20"/>
          <w:szCs w:val="24"/>
        </w:rPr>
      </w:pPr>
      <w:r w:rsidRPr="00863862">
        <w:rPr>
          <w:rFonts w:ascii="Times New Roman" w:eastAsia="Arial" w:hAnsi="Times New Roman"/>
          <w:sz w:val="20"/>
          <w:szCs w:val="24"/>
        </w:rPr>
        <w:t xml:space="preserve">**As médias seguidas de mesma letra não diferem entre si pelo Teste Tukey a 1% de probabilidade </w:t>
      </w:r>
    </w:p>
    <w:p w:rsidR="00A24DB2" w:rsidRPr="00863862" w:rsidRDefault="00271145"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5% de probabilidade.</w:t>
      </w:r>
    </w:p>
    <w:p w:rsidR="006466AB" w:rsidRPr="002B40FC" w:rsidRDefault="006466AB" w:rsidP="00460133">
      <w:pPr>
        <w:autoSpaceDE w:val="0"/>
        <w:autoSpaceDN w:val="0"/>
        <w:adjustRightInd w:val="0"/>
        <w:spacing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A sacarose é</w:t>
      </w:r>
      <w:r w:rsidRPr="002B40FC">
        <w:rPr>
          <w:rFonts w:ascii="Times New Roman" w:hAnsi="Times New Roman"/>
          <w:sz w:val="24"/>
          <w:szCs w:val="24"/>
        </w:rPr>
        <w:t xml:space="preserve"> o carboidrato usado para substituir o carbono que a planta fixa da atmosfera pela fotossíntese (MONFORT et al., 2011), porém, quando o explante usado, trata-se da semente, esta, já possui material reserva, que irá nutrir o embrião nessa fase inicial de germinação da semente.</w:t>
      </w:r>
    </w:p>
    <w:p w:rsidR="006466AB" w:rsidRPr="002B40FC" w:rsidRDefault="006466AB" w:rsidP="00460133">
      <w:pPr>
        <w:tabs>
          <w:tab w:val="left" w:pos="567"/>
        </w:tabs>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 xml:space="preserve">Os resultados do trabalho, provavelmente, devem-se ao fato de que a semente de pau-de-balsa, já possua em sua reserva nutritiva um teor de sacarose, que lhe permitiu a emissão da </w:t>
      </w:r>
      <w:r w:rsidRPr="002B40FC">
        <w:rPr>
          <w:rFonts w:ascii="Times New Roman" w:eastAsia="Arial" w:hAnsi="Times New Roman"/>
          <w:sz w:val="24"/>
          <w:szCs w:val="24"/>
        </w:rPr>
        <w:lastRenderedPageBreak/>
        <w:t>plúmula e radícula e consequentemente, melhor desenvolvimento da plântula em concentrações menores de sacarose, no entanto, a maior disponibilidade do elemento no meio extracelular pode ter provocado maior perda de água devido à pressão osmótica exercida sobre a semente, impedindo a embebição necessária para a germinação e consequentemente bons resultados para as demais variáveis (REIS et al., 2015).</w:t>
      </w:r>
    </w:p>
    <w:p w:rsidR="006466AB" w:rsidRPr="002B40FC" w:rsidRDefault="006466AB" w:rsidP="00460133">
      <w:pPr>
        <w:tabs>
          <w:tab w:val="left" w:pos="567"/>
        </w:tabs>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Analisando diferentes concentrações de sacarose (0, 15 e 30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no crescimento </w:t>
      </w:r>
      <w:r w:rsidRPr="002B40FC">
        <w:rPr>
          <w:rFonts w:ascii="Times New Roman" w:eastAsia="Arial" w:hAnsi="Times New Roman"/>
          <w:i/>
          <w:sz w:val="24"/>
          <w:szCs w:val="24"/>
        </w:rPr>
        <w:t>in vitro</w:t>
      </w:r>
      <w:r w:rsidRPr="002B40FC">
        <w:rPr>
          <w:rFonts w:ascii="Times New Roman" w:eastAsia="Arial" w:hAnsi="Times New Roman"/>
          <w:sz w:val="24"/>
          <w:szCs w:val="24"/>
        </w:rPr>
        <w:t xml:space="preserve"> de plântulas de mirtilo (</w:t>
      </w:r>
      <w:r w:rsidRPr="002B40FC">
        <w:rPr>
          <w:rFonts w:ascii="Times New Roman" w:hAnsi="Times New Roman"/>
          <w:i/>
          <w:sz w:val="24"/>
          <w:szCs w:val="24"/>
          <w:shd w:val="clear" w:color="auto" w:fill="FFFFFF"/>
        </w:rPr>
        <w:t>Vaccinium myrtillum</w:t>
      </w:r>
      <w:r w:rsidRPr="002B40FC">
        <w:rPr>
          <w:rFonts w:ascii="Times New Roman" w:eastAsia="Arial" w:hAnsi="Times New Roman"/>
          <w:sz w:val="24"/>
          <w:szCs w:val="24"/>
        </w:rPr>
        <w:t xml:space="preserve">), Damiani </w:t>
      </w:r>
      <w:r w:rsidR="0019202F">
        <w:rPr>
          <w:rFonts w:ascii="Times New Roman" w:eastAsia="Arial" w:hAnsi="Times New Roman"/>
          <w:sz w:val="24"/>
          <w:szCs w:val="24"/>
        </w:rPr>
        <w:t>e</w:t>
      </w:r>
      <w:r w:rsidRPr="002B40FC">
        <w:rPr>
          <w:rFonts w:ascii="Times New Roman" w:eastAsia="Arial" w:hAnsi="Times New Roman"/>
          <w:sz w:val="24"/>
          <w:szCs w:val="24"/>
        </w:rPr>
        <w:t xml:space="preserve"> Schuch (2009) concluíram que as maiores porcentagens de enraizamento, ocorreram em meio sem a adição de sacarose. Essas observações são confirmadas pelos resultados obtidos no presente trabalho em todas as variáveis analisadas. Por outro lado, estes resultados discordam, daqueles encontrados por Monfort et al., (2015), que trabalhando com </w:t>
      </w:r>
      <w:r w:rsidRPr="002B40FC">
        <w:rPr>
          <w:rFonts w:ascii="Times New Roman" w:eastAsia="Arial" w:hAnsi="Times New Roman"/>
          <w:i/>
          <w:sz w:val="24"/>
          <w:szCs w:val="24"/>
        </w:rPr>
        <w:t>Ocimum selloi,</w:t>
      </w:r>
      <w:r w:rsidRPr="002B40FC">
        <w:rPr>
          <w:rFonts w:ascii="Times New Roman" w:eastAsia="Arial" w:hAnsi="Times New Roman"/>
          <w:sz w:val="24"/>
          <w:szCs w:val="24"/>
        </w:rPr>
        <w:t xml:space="preserve"> verificaram efeito negativo sobre o número, comprimento, matéria seca da brotação e número de raízes na ausência de sacarose.</w:t>
      </w:r>
    </w:p>
    <w:p w:rsidR="006466AB" w:rsidRPr="002B40FC" w:rsidRDefault="006466AB" w:rsidP="00460133">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Para massa seca, o maior peso foi observado nas concentrações 15, 20 e 25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respectivamente e o menor na concentração de 0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o que demonstra comportamento linear dessa variável na regressão (Figura </w:t>
      </w:r>
      <w:r w:rsidR="00FD3645" w:rsidRPr="002B40FC">
        <w:rPr>
          <w:rFonts w:ascii="Times New Roman" w:eastAsia="Arial" w:hAnsi="Times New Roman"/>
          <w:sz w:val="24"/>
          <w:szCs w:val="24"/>
        </w:rPr>
        <w:t>3A</w:t>
      </w:r>
      <w:r w:rsidRPr="002B40FC">
        <w:rPr>
          <w:rFonts w:ascii="Times New Roman" w:eastAsia="Arial" w:hAnsi="Times New Roman"/>
          <w:sz w:val="24"/>
          <w:szCs w:val="24"/>
        </w:rPr>
        <w:t>).</w:t>
      </w:r>
    </w:p>
    <w:p w:rsidR="000630E8" w:rsidRPr="002B40FC" w:rsidRDefault="006466AB" w:rsidP="00460133">
      <w:pPr>
        <w:autoSpaceDE w:val="0"/>
        <w:autoSpaceDN w:val="0"/>
        <w:adjustRightInd w:val="0"/>
        <w:spacing w:line="360" w:lineRule="auto"/>
        <w:ind w:firstLine="567"/>
        <w:jc w:val="both"/>
        <w:rPr>
          <w:rFonts w:ascii="Times New Roman" w:eastAsia="Arial" w:hAnsi="Times New Roman"/>
          <w:b/>
          <w:sz w:val="24"/>
          <w:szCs w:val="24"/>
        </w:rPr>
      </w:pPr>
      <w:r w:rsidRPr="002B40FC">
        <w:rPr>
          <w:rFonts w:ascii="Times New Roman" w:eastAsia="Arial" w:hAnsi="Times New Roman"/>
          <w:sz w:val="24"/>
          <w:szCs w:val="24"/>
        </w:rPr>
        <w:t>O efeito das concentrações de sacarose no comprimento da parte aérea foi dependente das concentrações do meio MS, sendo assim, necessário a realização de desdobramento. Ao avaliar a concentração do meio dentro de cada concentração de sacarose, notou-se superioridade do meio 50%, porém, o comportamento é diferente para cada concentração, onde com 0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de sacarose teve o maior comprimento da parte aérea, com 25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o menor (Tabela 1). </w:t>
      </w:r>
    </w:p>
    <w:p w:rsidR="00A305F5" w:rsidRPr="002B40FC" w:rsidRDefault="006466AB" w:rsidP="00460133">
      <w:pPr>
        <w:autoSpaceDE w:val="0"/>
        <w:autoSpaceDN w:val="0"/>
        <w:adjustRightInd w:val="0"/>
        <w:spacing w:line="360" w:lineRule="auto"/>
        <w:jc w:val="both"/>
        <w:rPr>
          <w:rFonts w:ascii="Times New Roman" w:eastAsia="Arial" w:hAnsi="Times New Roman"/>
          <w:sz w:val="24"/>
          <w:szCs w:val="24"/>
        </w:rPr>
      </w:pPr>
      <w:r w:rsidRPr="002B40FC">
        <w:rPr>
          <w:rFonts w:ascii="Times New Roman" w:eastAsia="Arial" w:hAnsi="Times New Roman"/>
          <w:b/>
          <w:sz w:val="24"/>
          <w:szCs w:val="24"/>
        </w:rPr>
        <w:t xml:space="preserve">Tabela 1 </w:t>
      </w:r>
      <w:r w:rsidRPr="002B40FC">
        <w:rPr>
          <w:rFonts w:ascii="Times New Roman" w:eastAsia="Arial" w:hAnsi="Times New Roman"/>
          <w:sz w:val="24"/>
          <w:szCs w:val="24"/>
        </w:rPr>
        <w:t xml:space="preserve">- Desdobramento do comprimento da parte aérea em </w:t>
      </w:r>
      <w:r w:rsidRPr="002B40FC">
        <w:rPr>
          <w:rFonts w:ascii="Times New Roman" w:eastAsia="Arial" w:hAnsi="Times New Roman"/>
          <w:i/>
          <w:sz w:val="24"/>
          <w:szCs w:val="24"/>
        </w:rPr>
        <w:t>Ochroma pyramidales</w:t>
      </w:r>
      <w:r w:rsidRPr="002B40FC">
        <w:rPr>
          <w:rFonts w:ascii="Times New Roman" w:eastAsia="Arial" w:hAnsi="Times New Roman"/>
          <w:sz w:val="24"/>
          <w:szCs w:val="24"/>
        </w:rPr>
        <w:t>, concentração do meio dentro de cada dose, Ipameri-GO 2015.</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639"/>
        <w:gridCol w:w="1812"/>
        <w:gridCol w:w="1812"/>
        <w:gridCol w:w="1813"/>
      </w:tblGrid>
      <w:tr w:rsidR="006466AB" w:rsidRPr="002B40FC" w:rsidTr="00785CB1">
        <w:tc>
          <w:tcPr>
            <w:tcW w:w="1985" w:type="dxa"/>
            <w:vMerge w:val="restart"/>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Meio de Cultura</w:t>
            </w:r>
          </w:p>
        </w:tc>
        <w:tc>
          <w:tcPr>
            <w:tcW w:w="7076" w:type="dxa"/>
            <w:gridSpan w:val="4"/>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Concentrações de Sacarose (g.L</w:t>
            </w:r>
            <w:r w:rsidRPr="0019202F">
              <w:rPr>
                <w:rFonts w:ascii="Times New Roman" w:eastAsia="Arial" w:hAnsi="Times New Roman"/>
                <w:szCs w:val="24"/>
                <w:vertAlign w:val="superscript"/>
              </w:rPr>
              <w:t>-1</w:t>
            </w:r>
            <w:r w:rsidRPr="0019202F">
              <w:rPr>
                <w:rFonts w:ascii="Times New Roman" w:eastAsia="Arial" w:hAnsi="Times New Roman"/>
                <w:szCs w:val="24"/>
              </w:rPr>
              <w:t>)**</w:t>
            </w:r>
          </w:p>
        </w:tc>
      </w:tr>
      <w:tr w:rsidR="006466AB" w:rsidRPr="002B40FC" w:rsidTr="00785CB1">
        <w:tc>
          <w:tcPr>
            <w:tcW w:w="1985" w:type="dxa"/>
            <w:vMerge/>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p>
        </w:tc>
        <w:tc>
          <w:tcPr>
            <w:tcW w:w="1639"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w:t>
            </w:r>
          </w:p>
        </w:tc>
        <w:tc>
          <w:tcPr>
            <w:tcW w:w="1812"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15</w:t>
            </w:r>
          </w:p>
        </w:tc>
        <w:tc>
          <w:tcPr>
            <w:tcW w:w="1812"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20</w:t>
            </w:r>
          </w:p>
        </w:tc>
        <w:tc>
          <w:tcPr>
            <w:tcW w:w="1813"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25</w:t>
            </w:r>
          </w:p>
        </w:tc>
      </w:tr>
      <w:tr w:rsidR="006466AB" w:rsidRPr="002B40FC" w:rsidTr="00A305F5">
        <w:tc>
          <w:tcPr>
            <w:tcW w:w="1985"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MS 50%</w:t>
            </w:r>
          </w:p>
        </w:tc>
        <w:tc>
          <w:tcPr>
            <w:tcW w:w="1639"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5,38aA</w:t>
            </w:r>
          </w:p>
        </w:tc>
        <w:tc>
          <w:tcPr>
            <w:tcW w:w="1812"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5,34aA</w:t>
            </w:r>
          </w:p>
        </w:tc>
        <w:tc>
          <w:tcPr>
            <w:tcW w:w="1812"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4,62aAB</w:t>
            </w:r>
          </w:p>
        </w:tc>
        <w:tc>
          <w:tcPr>
            <w:tcW w:w="1813" w:type="dxa"/>
            <w:tcBorders>
              <w:bottom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2,94aB</w:t>
            </w:r>
          </w:p>
        </w:tc>
      </w:tr>
      <w:tr w:rsidR="006466AB" w:rsidRPr="002B40FC" w:rsidTr="00A305F5">
        <w:tc>
          <w:tcPr>
            <w:tcW w:w="1985" w:type="dxa"/>
            <w:tcBorders>
              <w:top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MS 100%</w:t>
            </w:r>
          </w:p>
        </w:tc>
        <w:tc>
          <w:tcPr>
            <w:tcW w:w="1639" w:type="dxa"/>
            <w:tcBorders>
              <w:top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4,22aA</w:t>
            </w:r>
          </w:p>
        </w:tc>
        <w:tc>
          <w:tcPr>
            <w:tcW w:w="1812" w:type="dxa"/>
            <w:tcBorders>
              <w:top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2,35bB</w:t>
            </w:r>
          </w:p>
        </w:tc>
        <w:tc>
          <w:tcPr>
            <w:tcW w:w="1812" w:type="dxa"/>
            <w:tcBorders>
              <w:top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4,53aA</w:t>
            </w:r>
          </w:p>
        </w:tc>
        <w:tc>
          <w:tcPr>
            <w:tcW w:w="1813" w:type="dxa"/>
            <w:tcBorders>
              <w:top w:val="single" w:sz="4" w:space="0" w:color="auto"/>
            </w:tcBorders>
            <w:vAlign w:val="center"/>
          </w:tcPr>
          <w:p w:rsidR="006466AB" w:rsidRPr="0019202F" w:rsidRDefault="006466AB"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2,23aB</w:t>
            </w:r>
          </w:p>
        </w:tc>
      </w:tr>
    </w:tbl>
    <w:p w:rsidR="006466AB" w:rsidRPr="002B40FC" w:rsidRDefault="006466AB" w:rsidP="00460133">
      <w:pPr>
        <w:spacing w:line="360" w:lineRule="auto"/>
        <w:jc w:val="both"/>
        <w:rPr>
          <w:rFonts w:ascii="Times New Roman" w:eastAsia="Arial" w:hAnsi="Times New Roman"/>
          <w:sz w:val="24"/>
          <w:szCs w:val="24"/>
        </w:rPr>
      </w:pPr>
      <w:r w:rsidRPr="00863862">
        <w:rPr>
          <w:rFonts w:ascii="Times New Roman" w:eastAsia="Arial" w:hAnsi="Times New Roman"/>
          <w:sz w:val="20"/>
          <w:szCs w:val="24"/>
        </w:rPr>
        <w:t>**Médias seguidas de mesma letra minúscula na linha e maiúscula na coluna não diferem significativamente entre si pelo Teste Tukey a 1% de probabilidade</w:t>
      </w:r>
      <w:r w:rsidRPr="002B40FC">
        <w:rPr>
          <w:rFonts w:ascii="Times New Roman" w:eastAsia="Arial" w:hAnsi="Times New Roman"/>
          <w:sz w:val="24"/>
          <w:szCs w:val="24"/>
        </w:rPr>
        <w:t>.</w:t>
      </w:r>
    </w:p>
    <w:p w:rsidR="00863862" w:rsidRDefault="006466AB" w:rsidP="00460133">
      <w:pPr>
        <w:autoSpaceDE w:val="0"/>
        <w:autoSpaceDN w:val="0"/>
        <w:adjustRightInd w:val="0"/>
        <w:spacing w:after="0" w:line="360" w:lineRule="auto"/>
        <w:ind w:firstLine="567"/>
        <w:jc w:val="both"/>
        <w:rPr>
          <w:rFonts w:ascii="Times New Roman" w:eastAsia="Arial" w:hAnsi="Times New Roman"/>
          <w:sz w:val="20"/>
          <w:szCs w:val="24"/>
        </w:rPr>
      </w:pPr>
      <w:r w:rsidRPr="002B40FC">
        <w:rPr>
          <w:rFonts w:ascii="Times New Roman" w:eastAsia="Arial" w:hAnsi="Times New Roman"/>
          <w:sz w:val="24"/>
          <w:szCs w:val="24"/>
        </w:rPr>
        <w:t>Considerando a concentração de sacarose dentro da concentração do meio, os resultados indicam comportamento semelhante entre os meios, e demonstra que na concentração abaixo de 15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xml:space="preserve"> (10 g.L</w:t>
      </w:r>
      <w:r w:rsidRPr="002B40FC">
        <w:rPr>
          <w:rFonts w:ascii="Times New Roman" w:eastAsia="Arial" w:hAnsi="Times New Roman"/>
          <w:sz w:val="24"/>
          <w:szCs w:val="24"/>
          <w:vertAlign w:val="superscript"/>
        </w:rPr>
        <w:t>-1</w:t>
      </w:r>
      <w:r w:rsidRPr="002B40FC">
        <w:rPr>
          <w:rFonts w:ascii="Times New Roman" w:eastAsia="Arial" w:hAnsi="Times New Roman"/>
          <w:sz w:val="24"/>
          <w:szCs w:val="24"/>
        </w:rPr>
        <w:t>), a altura da parte aérea expressou</w:t>
      </w:r>
      <w:r w:rsidR="009511C4" w:rsidRPr="002B40FC">
        <w:rPr>
          <w:rFonts w:ascii="Times New Roman" w:eastAsia="Arial" w:hAnsi="Times New Roman"/>
          <w:sz w:val="24"/>
          <w:szCs w:val="24"/>
        </w:rPr>
        <w:t xml:space="preserve"> o seu</w:t>
      </w:r>
      <w:r w:rsidR="00B3624E" w:rsidRPr="002B40FC">
        <w:rPr>
          <w:rFonts w:ascii="Times New Roman" w:eastAsia="Arial" w:hAnsi="Times New Roman"/>
          <w:sz w:val="24"/>
          <w:szCs w:val="24"/>
        </w:rPr>
        <w:t xml:space="preserve"> </w:t>
      </w:r>
      <w:r w:rsidRPr="002B40FC">
        <w:rPr>
          <w:rFonts w:ascii="Times New Roman" w:eastAsia="Arial" w:hAnsi="Times New Roman"/>
          <w:sz w:val="24"/>
          <w:szCs w:val="24"/>
        </w:rPr>
        <w:t xml:space="preserve">comprimento máximo (Figura </w:t>
      </w:r>
      <w:r w:rsidR="00A305F5" w:rsidRPr="002B40FC">
        <w:rPr>
          <w:rFonts w:ascii="Times New Roman" w:eastAsia="Arial" w:hAnsi="Times New Roman"/>
          <w:sz w:val="24"/>
          <w:szCs w:val="24"/>
        </w:rPr>
        <w:t>4</w:t>
      </w:r>
      <w:r w:rsidR="00C812A1" w:rsidRPr="002B40FC">
        <w:rPr>
          <w:rFonts w:ascii="Times New Roman" w:eastAsia="Arial" w:hAnsi="Times New Roman"/>
          <w:sz w:val="24"/>
          <w:szCs w:val="24"/>
        </w:rPr>
        <w:t>)</w:t>
      </w:r>
      <w:r w:rsidR="000630E8" w:rsidRPr="002B40FC">
        <w:rPr>
          <w:rFonts w:ascii="Times New Roman" w:eastAsia="Arial" w:hAnsi="Times New Roman"/>
          <w:sz w:val="24"/>
          <w:szCs w:val="24"/>
        </w:rPr>
        <w:t>.</w:t>
      </w:r>
      <w:r w:rsidR="0078518C" w:rsidRPr="002B40FC">
        <w:rPr>
          <w:rFonts w:ascii="Times New Roman" w:eastAsia="Arial" w:hAnsi="Times New Roman"/>
          <w:sz w:val="24"/>
          <w:szCs w:val="24"/>
        </w:rPr>
        <w:t xml:space="preserve"> </w:t>
      </w:r>
      <w:r w:rsidR="0078518C" w:rsidRPr="002B40FC">
        <w:rPr>
          <w:rFonts w:ascii="Times New Roman" w:eastAsia="Arial" w:hAnsi="Times New Roman"/>
          <w:noProof/>
          <w:sz w:val="24"/>
          <w:szCs w:val="24"/>
          <w:lang w:eastAsia="pt-BR"/>
        </w:rPr>
        <w:lastRenderedPageBreak/>
        <w:drawing>
          <wp:inline distT="0" distB="0" distL="0" distR="0">
            <wp:extent cx="5759450" cy="2201549"/>
            <wp:effectExtent l="0" t="0" r="0"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3 certa.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819" cy="2201690"/>
                    </a:xfrm>
                    <a:prstGeom prst="rect">
                      <a:avLst/>
                    </a:prstGeom>
                  </pic:spPr>
                </pic:pic>
              </a:graphicData>
            </a:graphic>
          </wp:inline>
        </w:drawing>
      </w:r>
      <w:r w:rsidRPr="00863862">
        <w:rPr>
          <w:rFonts w:ascii="Times New Roman" w:eastAsia="Arial" w:hAnsi="Times New Roman"/>
          <w:b/>
          <w:sz w:val="20"/>
          <w:szCs w:val="24"/>
        </w:rPr>
        <w:t xml:space="preserve">Figura </w:t>
      </w:r>
      <w:r w:rsidR="00A305F5" w:rsidRPr="00863862">
        <w:rPr>
          <w:rFonts w:ascii="Times New Roman" w:eastAsia="Arial" w:hAnsi="Times New Roman"/>
          <w:b/>
          <w:sz w:val="20"/>
          <w:szCs w:val="24"/>
        </w:rPr>
        <w:t>4</w:t>
      </w:r>
      <w:r w:rsidRPr="00863862">
        <w:rPr>
          <w:rFonts w:ascii="Times New Roman" w:eastAsia="Arial" w:hAnsi="Times New Roman"/>
          <w:sz w:val="20"/>
          <w:szCs w:val="24"/>
        </w:rPr>
        <w:t xml:space="preserve"> - Desdobramento do comprimento da parte aérea em </w:t>
      </w:r>
      <w:r w:rsidRPr="00863862">
        <w:rPr>
          <w:rFonts w:ascii="Times New Roman" w:eastAsia="Arial" w:hAnsi="Times New Roman"/>
          <w:i/>
          <w:sz w:val="20"/>
          <w:szCs w:val="24"/>
        </w:rPr>
        <w:t>Ochroma pyramidales</w:t>
      </w:r>
      <w:r w:rsidRPr="00863862">
        <w:rPr>
          <w:rFonts w:ascii="Times New Roman" w:eastAsia="Arial" w:hAnsi="Times New Roman"/>
          <w:sz w:val="20"/>
          <w:szCs w:val="24"/>
        </w:rPr>
        <w:t>, doses de sacarose dentro do meio MS 50% (A) e doses de sacarose dentro do meio MS 100% (B).</w:t>
      </w:r>
    </w:p>
    <w:p w:rsidR="0007095E" w:rsidRPr="00863862" w:rsidRDefault="006466AB"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1% de probabilidade.</w:t>
      </w:r>
    </w:p>
    <w:p w:rsidR="009511C4" w:rsidRPr="002B40FC" w:rsidRDefault="009511C4" w:rsidP="00460133">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 xml:space="preserve">A massa fresca foi influenciada pela concentração do meio MS e por meio da interação entre os tratamentos. O meio MS 50% proporcionou um peso em gramas de 0,786, em contrapartida o meio MS 100%, foi de apenas 0,753. </w:t>
      </w:r>
    </w:p>
    <w:p w:rsidR="0078518C" w:rsidRPr="002B40FC" w:rsidRDefault="009511C4" w:rsidP="00460133">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 xml:space="preserve">No meio MS 100% observou que o aumento nas concentrações de sacarose provocou diminuição no peso da massa fresca, o que pode ser notado através da analises </w:t>
      </w:r>
      <w:r w:rsidR="0078518C" w:rsidRPr="002B40FC">
        <w:rPr>
          <w:rFonts w:ascii="Times New Roman" w:eastAsia="Arial" w:hAnsi="Times New Roman"/>
          <w:sz w:val="24"/>
          <w:szCs w:val="24"/>
        </w:rPr>
        <w:t xml:space="preserve">estatísticas </w:t>
      </w:r>
      <w:r w:rsidRPr="002B40FC">
        <w:rPr>
          <w:rFonts w:ascii="Times New Roman" w:eastAsia="Arial" w:hAnsi="Times New Roman"/>
          <w:sz w:val="24"/>
          <w:szCs w:val="24"/>
        </w:rPr>
        <w:t xml:space="preserve">(Tabela 2 e Figura </w:t>
      </w:r>
      <w:r w:rsidR="00A349C7" w:rsidRPr="002B40FC">
        <w:rPr>
          <w:rFonts w:ascii="Times New Roman" w:eastAsia="Arial" w:hAnsi="Times New Roman"/>
          <w:sz w:val="24"/>
          <w:szCs w:val="24"/>
        </w:rPr>
        <w:t>5</w:t>
      </w:r>
      <w:r w:rsidRPr="002B40FC">
        <w:rPr>
          <w:rFonts w:ascii="Times New Roman" w:eastAsia="Arial" w:hAnsi="Times New Roman"/>
          <w:sz w:val="24"/>
          <w:szCs w:val="24"/>
        </w:rPr>
        <w:t>)</w:t>
      </w:r>
      <w:r w:rsidR="00A349C7" w:rsidRPr="002B40FC">
        <w:rPr>
          <w:rFonts w:ascii="Times New Roman" w:eastAsia="Arial" w:hAnsi="Times New Roman"/>
          <w:sz w:val="24"/>
          <w:szCs w:val="24"/>
        </w:rPr>
        <w:t>.</w:t>
      </w:r>
    </w:p>
    <w:p w:rsidR="00BC6C48" w:rsidRPr="002B40FC" w:rsidRDefault="0078518C" w:rsidP="00460133">
      <w:pPr>
        <w:autoSpaceDE w:val="0"/>
        <w:autoSpaceDN w:val="0"/>
        <w:adjustRightInd w:val="0"/>
        <w:spacing w:before="240" w:after="0" w:line="360" w:lineRule="auto"/>
        <w:jc w:val="both"/>
        <w:rPr>
          <w:rFonts w:ascii="Times New Roman" w:eastAsia="Arial" w:hAnsi="Times New Roman"/>
          <w:b/>
          <w:sz w:val="24"/>
          <w:szCs w:val="24"/>
        </w:rPr>
      </w:pPr>
      <w:r w:rsidRPr="002B40FC">
        <w:rPr>
          <w:rFonts w:ascii="Times New Roman" w:eastAsia="Arial" w:hAnsi="Times New Roman"/>
          <w:b/>
          <w:noProof/>
          <w:sz w:val="24"/>
          <w:szCs w:val="24"/>
          <w:lang w:eastAsia="pt-BR"/>
        </w:rPr>
        <w:drawing>
          <wp:inline distT="0" distB="0" distL="0" distR="0">
            <wp:extent cx="5718412" cy="1691005"/>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4.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713"/>
                    <a:stretch/>
                  </pic:blipFill>
                  <pic:spPr bwMode="auto">
                    <a:xfrm>
                      <a:off x="0" y="0"/>
                      <a:ext cx="5718412" cy="1691005"/>
                    </a:xfrm>
                    <a:prstGeom prst="rect">
                      <a:avLst/>
                    </a:prstGeom>
                    <a:ln>
                      <a:noFill/>
                    </a:ln>
                    <a:extLst>
                      <a:ext uri="{53640926-AAD7-44D8-BBD7-CCE9431645EC}">
                        <a14:shadowObscured xmlns:a14="http://schemas.microsoft.com/office/drawing/2010/main"/>
                      </a:ext>
                    </a:extLst>
                  </pic:spPr>
                </pic:pic>
              </a:graphicData>
            </a:graphic>
          </wp:inline>
        </w:drawing>
      </w:r>
    </w:p>
    <w:p w:rsidR="00C34B8D" w:rsidRPr="00863862" w:rsidRDefault="009511C4" w:rsidP="00460133">
      <w:pPr>
        <w:autoSpaceDE w:val="0"/>
        <w:autoSpaceDN w:val="0"/>
        <w:adjustRightInd w:val="0"/>
        <w:spacing w:after="0" w:line="360" w:lineRule="auto"/>
        <w:jc w:val="both"/>
        <w:rPr>
          <w:rFonts w:ascii="Times New Roman" w:hAnsi="Times New Roman"/>
          <w:noProof/>
          <w:sz w:val="20"/>
          <w:szCs w:val="24"/>
          <w:lang w:eastAsia="pt-BR"/>
        </w:rPr>
      </w:pPr>
      <w:r w:rsidRPr="00863862">
        <w:rPr>
          <w:rFonts w:ascii="Times New Roman" w:eastAsia="Arial" w:hAnsi="Times New Roman"/>
          <w:b/>
          <w:sz w:val="20"/>
          <w:szCs w:val="24"/>
        </w:rPr>
        <w:t xml:space="preserve">Figura </w:t>
      </w:r>
      <w:r w:rsidR="00A349C7" w:rsidRPr="00863862">
        <w:rPr>
          <w:rFonts w:ascii="Times New Roman" w:eastAsia="Arial" w:hAnsi="Times New Roman"/>
          <w:b/>
          <w:sz w:val="20"/>
          <w:szCs w:val="24"/>
        </w:rPr>
        <w:t>5</w:t>
      </w:r>
      <w:r w:rsidRPr="00863862">
        <w:rPr>
          <w:rFonts w:ascii="Times New Roman" w:eastAsia="Arial" w:hAnsi="Times New Roman"/>
          <w:sz w:val="20"/>
          <w:szCs w:val="24"/>
        </w:rPr>
        <w:t xml:space="preserve"> - Massa fresca em </w:t>
      </w:r>
      <w:r w:rsidRPr="00863862">
        <w:rPr>
          <w:rFonts w:ascii="Times New Roman" w:eastAsia="Arial" w:hAnsi="Times New Roman"/>
          <w:i/>
          <w:sz w:val="20"/>
          <w:szCs w:val="24"/>
        </w:rPr>
        <w:t>Ochroma pyramidales</w:t>
      </w:r>
      <w:r w:rsidRPr="00863862">
        <w:rPr>
          <w:rFonts w:ascii="Times New Roman" w:eastAsia="Arial" w:hAnsi="Times New Roman"/>
          <w:sz w:val="20"/>
          <w:szCs w:val="24"/>
        </w:rPr>
        <w:t xml:space="preserve">; </w:t>
      </w:r>
      <w:r w:rsidRPr="00863862">
        <w:rPr>
          <w:rFonts w:ascii="Times New Roman" w:eastAsia="Arial" w:hAnsi="Times New Roman"/>
          <w:b/>
          <w:sz w:val="20"/>
          <w:szCs w:val="24"/>
        </w:rPr>
        <w:t>A)</w:t>
      </w:r>
      <w:r w:rsidRPr="00863862">
        <w:rPr>
          <w:rFonts w:ascii="Times New Roman" w:eastAsia="Arial" w:hAnsi="Times New Roman"/>
          <w:sz w:val="20"/>
          <w:szCs w:val="24"/>
        </w:rPr>
        <w:t xml:space="preserve"> Em função das concentrações de meio MS; </w:t>
      </w:r>
      <w:r w:rsidRPr="00863862">
        <w:rPr>
          <w:rFonts w:ascii="Times New Roman" w:eastAsia="Arial" w:hAnsi="Times New Roman"/>
          <w:b/>
          <w:sz w:val="20"/>
          <w:szCs w:val="24"/>
        </w:rPr>
        <w:t>B</w:t>
      </w:r>
      <w:r w:rsidRPr="00863862">
        <w:rPr>
          <w:rFonts w:ascii="Times New Roman" w:eastAsia="Arial" w:hAnsi="Times New Roman"/>
          <w:sz w:val="20"/>
          <w:szCs w:val="24"/>
        </w:rPr>
        <w:t>) Desdobramento, doses dentro de cada meio.</w:t>
      </w:r>
    </w:p>
    <w:p w:rsidR="009511C4" w:rsidRPr="00863862" w:rsidRDefault="009511C4" w:rsidP="00460133">
      <w:pPr>
        <w:autoSpaceDE w:val="0"/>
        <w:autoSpaceDN w:val="0"/>
        <w:adjustRightInd w:val="0"/>
        <w:spacing w:after="0"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1% de probabilidade.</w:t>
      </w:r>
    </w:p>
    <w:p w:rsidR="000630E8" w:rsidRPr="00863862" w:rsidRDefault="009511C4"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no desdobramento não diferem entre si pelo Teste Tukey a 5% de probabilidade.</w:t>
      </w:r>
    </w:p>
    <w:p w:rsidR="009511C4" w:rsidRPr="002B40FC" w:rsidRDefault="009511C4" w:rsidP="00460133">
      <w:pPr>
        <w:autoSpaceDE w:val="0"/>
        <w:autoSpaceDN w:val="0"/>
        <w:adjustRightInd w:val="0"/>
        <w:spacing w:line="360" w:lineRule="auto"/>
        <w:jc w:val="both"/>
        <w:rPr>
          <w:rFonts w:ascii="Times New Roman" w:eastAsia="Arial" w:hAnsi="Times New Roman"/>
          <w:sz w:val="24"/>
          <w:szCs w:val="24"/>
        </w:rPr>
      </w:pPr>
      <w:r w:rsidRPr="002B40FC">
        <w:rPr>
          <w:rFonts w:ascii="Times New Roman" w:eastAsia="Arial" w:hAnsi="Times New Roman"/>
          <w:b/>
          <w:sz w:val="24"/>
          <w:szCs w:val="24"/>
        </w:rPr>
        <w:t xml:space="preserve">Tabela 2 </w:t>
      </w:r>
      <w:r w:rsidRPr="002B40FC">
        <w:rPr>
          <w:rFonts w:ascii="Times New Roman" w:eastAsia="Arial" w:hAnsi="Times New Roman"/>
          <w:sz w:val="24"/>
          <w:szCs w:val="24"/>
        </w:rPr>
        <w:t xml:space="preserve">- Desdobramento da massa fresca em </w:t>
      </w:r>
      <w:r w:rsidRPr="002B40FC">
        <w:rPr>
          <w:rFonts w:ascii="Times New Roman" w:eastAsia="Arial" w:hAnsi="Times New Roman"/>
          <w:i/>
          <w:sz w:val="24"/>
          <w:szCs w:val="24"/>
        </w:rPr>
        <w:t>Ochroma pyramidales</w:t>
      </w:r>
      <w:r w:rsidRPr="002B40FC">
        <w:rPr>
          <w:rFonts w:ascii="Times New Roman" w:eastAsia="Arial" w:hAnsi="Times New Roman"/>
          <w:sz w:val="24"/>
          <w:szCs w:val="24"/>
        </w:rPr>
        <w:t>, meio dentro de cada dose, Ipameri-GO 2015.</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85"/>
        <w:gridCol w:w="1639"/>
        <w:gridCol w:w="1812"/>
        <w:gridCol w:w="1812"/>
        <w:gridCol w:w="1813"/>
      </w:tblGrid>
      <w:tr w:rsidR="009511C4" w:rsidRPr="002B40FC" w:rsidTr="00785CB1">
        <w:tc>
          <w:tcPr>
            <w:tcW w:w="1985" w:type="dxa"/>
            <w:vMerge w:val="restart"/>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Meio de Cultura</w:t>
            </w:r>
          </w:p>
        </w:tc>
        <w:tc>
          <w:tcPr>
            <w:tcW w:w="7076" w:type="dxa"/>
            <w:gridSpan w:val="4"/>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Concentrações de Sacarose (g.L</w:t>
            </w:r>
            <w:r w:rsidRPr="0019202F">
              <w:rPr>
                <w:rFonts w:ascii="Times New Roman" w:eastAsia="Arial" w:hAnsi="Times New Roman"/>
                <w:szCs w:val="24"/>
                <w:vertAlign w:val="superscript"/>
              </w:rPr>
              <w:t>-1</w:t>
            </w:r>
            <w:r w:rsidRPr="0019202F">
              <w:rPr>
                <w:rFonts w:ascii="Times New Roman" w:eastAsia="Arial" w:hAnsi="Times New Roman"/>
                <w:szCs w:val="24"/>
              </w:rPr>
              <w:t>)*</w:t>
            </w:r>
          </w:p>
        </w:tc>
      </w:tr>
      <w:tr w:rsidR="009511C4" w:rsidRPr="002B40FC" w:rsidTr="00785CB1">
        <w:tc>
          <w:tcPr>
            <w:tcW w:w="1985" w:type="dxa"/>
            <w:vMerge/>
            <w:tcBorders>
              <w:bottom w:val="single" w:sz="4" w:space="0" w:color="auto"/>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p>
        </w:tc>
        <w:tc>
          <w:tcPr>
            <w:tcW w:w="1639" w:type="dxa"/>
            <w:tcBorders>
              <w:bottom w:val="single" w:sz="4" w:space="0" w:color="auto"/>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w:t>
            </w:r>
          </w:p>
        </w:tc>
        <w:tc>
          <w:tcPr>
            <w:tcW w:w="1812" w:type="dxa"/>
            <w:tcBorders>
              <w:bottom w:val="single" w:sz="4" w:space="0" w:color="auto"/>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15</w:t>
            </w:r>
          </w:p>
        </w:tc>
        <w:tc>
          <w:tcPr>
            <w:tcW w:w="1812" w:type="dxa"/>
            <w:tcBorders>
              <w:bottom w:val="single" w:sz="4" w:space="0" w:color="auto"/>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20</w:t>
            </w:r>
          </w:p>
        </w:tc>
        <w:tc>
          <w:tcPr>
            <w:tcW w:w="1813" w:type="dxa"/>
            <w:tcBorders>
              <w:bottom w:val="single" w:sz="4" w:space="0" w:color="auto"/>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25</w:t>
            </w:r>
          </w:p>
        </w:tc>
      </w:tr>
      <w:tr w:rsidR="009511C4" w:rsidRPr="002B40FC" w:rsidTr="00785CB1">
        <w:tc>
          <w:tcPr>
            <w:tcW w:w="1985" w:type="dxa"/>
            <w:tcBorders>
              <w:bottom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lastRenderedPageBreak/>
              <w:t>MS 50%</w:t>
            </w:r>
          </w:p>
        </w:tc>
        <w:tc>
          <w:tcPr>
            <w:tcW w:w="1639" w:type="dxa"/>
            <w:tcBorders>
              <w:bottom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0,779 aA</w:t>
            </w:r>
          </w:p>
        </w:tc>
        <w:tc>
          <w:tcPr>
            <w:tcW w:w="1812" w:type="dxa"/>
            <w:tcBorders>
              <w:bottom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0,811 aA</w:t>
            </w:r>
          </w:p>
        </w:tc>
        <w:tc>
          <w:tcPr>
            <w:tcW w:w="1812" w:type="dxa"/>
            <w:tcBorders>
              <w:bottom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0,802 aA</w:t>
            </w:r>
          </w:p>
        </w:tc>
        <w:tc>
          <w:tcPr>
            <w:tcW w:w="1813" w:type="dxa"/>
            <w:tcBorders>
              <w:bottom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0,753 aA</w:t>
            </w:r>
          </w:p>
        </w:tc>
      </w:tr>
      <w:tr w:rsidR="009511C4" w:rsidRPr="002B40FC" w:rsidTr="00785CB1">
        <w:tc>
          <w:tcPr>
            <w:tcW w:w="1985" w:type="dxa"/>
            <w:tcBorders>
              <w:top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MS 100%</w:t>
            </w:r>
          </w:p>
        </w:tc>
        <w:tc>
          <w:tcPr>
            <w:tcW w:w="1639" w:type="dxa"/>
            <w:tcBorders>
              <w:top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0,792 aA</w:t>
            </w:r>
          </w:p>
        </w:tc>
        <w:tc>
          <w:tcPr>
            <w:tcW w:w="1812" w:type="dxa"/>
            <w:tcBorders>
              <w:top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0,732 bA</w:t>
            </w:r>
          </w:p>
        </w:tc>
        <w:tc>
          <w:tcPr>
            <w:tcW w:w="1812" w:type="dxa"/>
            <w:tcBorders>
              <w:top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0,755 bA</w:t>
            </w:r>
          </w:p>
        </w:tc>
        <w:tc>
          <w:tcPr>
            <w:tcW w:w="1813" w:type="dxa"/>
            <w:tcBorders>
              <w:top w:val="nil"/>
            </w:tcBorders>
            <w:vAlign w:val="center"/>
          </w:tcPr>
          <w:p w:rsidR="009511C4" w:rsidRPr="0019202F" w:rsidRDefault="009511C4" w:rsidP="00460133">
            <w:pPr>
              <w:autoSpaceDE w:val="0"/>
              <w:autoSpaceDN w:val="0"/>
              <w:adjustRightInd w:val="0"/>
              <w:spacing w:after="0" w:line="240" w:lineRule="auto"/>
              <w:jc w:val="both"/>
              <w:rPr>
                <w:rFonts w:ascii="Times New Roman" w:eastAsia="Arial" w:hAnsi="Times New Roman"/>
                <w:szCs w:val="24"/>
              </w:rPr>
            </w:pPr>
            <w:r w:rsidRPr="0019202F">
              <w:rPr>
                <w:rFonts w:ascii="Times New Roman" w:eastAsia="Arial" w:hAnsi="Times New Roman"/>
                <w:szCs w:val="24"/>
              </w:rPr>
              <w:t>0,732 aA</w:t>
            </w:r>
          </w:p>
        </w:tc>
      </w:tr>
    </w:tbl>
    <w:p w:rsidR="008329EC" w:rsidRPr="00863862" w:rsidRDefault="009511C4"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*Médias seguidas de mesma letra minúscula na linha e maiúscula na coluna não diferem significativamente entre si pelo Teste Tukey a 5% de probabilidade.</w:t>
      </w:r>
    </w:p>
    <w:p w:rsidR="009511C4" w:rsidRPr="002B40FC" w:rsidRDefault="008329EC" w:rsidP="0019202F">
      <w:pPr>
        <w:tabs>
          <w:tab w:val="left" w:pos="567"/>
        </w:tabs>
        <w:autoSpaceDE w:val="0"/>
        <w:autoSpaceDN w:val="0"/>
        <w:adjustRightInd w:val="0"/>
        <w:spacing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ab/>
      </w:r>
      <w:r w:rsidR="009511C4" w:rsidRPr="002B40FC">
        <w:rPr>
          <w:rFonts w:ascii="Times New Roman" w:eastAsia="Arial" w:hAnsi="Times New Roman"/>
          <w:sz w:val="24"/>
          <w:szCs w:val="24"/>
        </w:rPr>
        <w:t>A concentração de sacarose teve efeito significativo no aparecimento de plantas senescentes (</w:t>
      </w:r>
      <w:r w:rsidR="00C812A1" w:rsidRPr="002B40FC">
        <w:rPr>
          <w:rFonts w:ascii="Times New Roman" w:eastAsia="Arial" w:hAnsi="Times New Roman"/>
          <w:sz w:val="24"/>
          <w:szCs w:val="24"/>
        </w:rPr>
        <w:t xml:space="preserve">Figura </w:t>
      </w:r>
      <w:r w:rsidR="00A349C7" w:rsidRPr="002B40FC">
        <w:rPr>
          <w:rFonts w:ascii="Times New Roman" w:eastAsia="Arial" w:hAnsi="Times New Roman"/>
          <w:sz w:val="24"/>
          <w:szCs w:val="24"/>
        </w:rPr>
        <w:t>6</w:t>
      </w:r>
      <w:r w:rsidR="009511C4" w:rsidRPr="002B40FC">
        <w:rPr>
          <w:rFonts w:ascii="Times New Roman" w:eastAsia="Arial" w:hAnsi="Times New Roman"/>
          <w:sz w:val="24"/>
          <w:szCs w:val="24"/>
        </w:rPr>
        <w:t xml:space="preserve">A) e com calogênese (Figura </w:t>
      </w:r>
      <w:r w:rsidR="00C812A1" w:rsidRPr="002B40FC">
        <w:rPr>
          <w:rFonts w:ascii="Times New Roman" w:eastAsia="Arial" w:hAnsi="Times New Roman"/>
          <w:sz w:val="24"/>
          <w:szCs w:val="24"/>
        </w:rPr>
        <w:t>6</w:t>
      </w:r>
      <w:r w:rsidR="009511C4" w:rsidRPr="002B40FC">
        <w:rPr>
          <w:rFonts w:ascii="Times New Roman" w:eastAsia="Arial" w:hAnsi="Times New Roman"/>
          <w:sz w:val="24"/>
          <w:szCs w:val="24"/>
        </w:rPr>
        <w:t>B) onde a maior incidência de calos surgiu quando utilizou-se as concentrações 0; 15 e 20 g.L</w:t>
      </w:r>
      <w:r w:rsidR="009511C4" w:rsidRPr="002B40FC">
        <w:rPr>
          <w:rFonts w:ascii="Times New Roman" w:eastAsia="Arial" w:hAnsi="Times New Roman"/>
          <w:sz w:val="24"/>
          <w:szCs w:val="24"/>
          <w:vertAlign w:val="superscript"/>
        </w:rPr>
        <w:t>-1</w:t>
      </w:r>
      <w:r w:rsidR="009511C4" w:rsidRPr="002B40FC">
        <w:rPr>
          <w:rFonts w:ascii="Times New Roman" w:eastAsia="Arial" w:hAnsi="Times New Roman"/>
          <w:sz w:val="24"/>
          <w:szCs w:val="24"/>
        </w:rPr>
        <w:t xml:space="preserve"> respectivamente 1,42; 1,45 e 1,43 e a </w:t>
      </w:r>
      <w:r w:rsidR="0078518C" w:rsidRPr="002B40FC">
        <w:rPr>
          <w:rFonts w:ascii="Times New Roman" w:eastAsia="Arial" w:hAnsi="Times New Roman"/>
          <w:sz w:val="24"/>
          <w:szCs w:val="24"/>
        </w:rPr>
        <w:t>c</w:t>
      </w:r>
      <w:r w:rsidR="000630E8" w:rsidRPr="002B40FC">
        <w:rPr>
          <w:rFonts w:ascii="Times New Roman" w:eastAsia="Arial" w:hAnsi="Times New Roman"/>
          <w:sz w:val="24"/>
          <w:szCs w:val="24"/>
        </w:rPr>
        <w:t>oncentração</w:t>
      </w:r>
      <w:r w:rsidR="009511C4" w:rsidRPr="002B40FC">
        <w:rPr>
          <w:rFonts w:ascii="Times New Roman" w:eastAsia="Arial" w:hAnsi="Times New Roman"/>
          <w:sz w:val="24"/>
          <w:szCs w:val="24"/>
        </w:rPr>
        <w:t xml:space="preserve"> de 25 g.L</w:t>
      </w:r>
      <w:r w:rsidR="009511C4" w:rsidRPr="002B40FC">
        <w:rPr>
          <w:rFonts w:ascii="Times New Roman" w:eastAsia="Arial" w:hAnsi="Times New Roman"/>
          <w:sz w:val="24"/>
          <w:szCs w:val="24"/>
          <w:vertAlign w:val="superscript"/>
        </w:rPr>
        <w:t>-1</w:t>
      </w:r>
      <w:r w:rsidR="009511C4" w:rsidRPr="002B40FC">
        <w:rPr>
          <w:rFonts w:ascii="Times New Roman" w:eastAsia="Arial" w:hAnsi="Times New Roman"/>
          <w:sz w:val="24"/>
          <w:szCs w:val="24"/>
        </w:rPr>
        <w:t xml:space="preserve"> resultou em uma média de 1,41. Resultado similar foi obtido para plantas senescentes, o maior surgimento dessas, ocorreu nas mesmas doses com os respectivamente valores 1,02; 1,10 e 1,08, enquanto na dose de 25 g.L</w:t>
      </w:r>
      <w:r w:rsidR="009511C4" w:rsidRPr="002B40FC">
        <w:rPr>
          <w:rFonts w:ascii="Times New Roman" w:eastAsia="Arial" w:hAnsi="Times New Roman"/>
          <w:sz w:val="24"/>
          <w:szCs w:val="24"/>
          <w:vertAlign w:val="superscript"/>
        </w:rPr>
        <w:t>-1</w:t>
      </w:r>
      <w:r w:rsidR="009511C4" w:rsidRPr="002B40FC">
        <w:rPr>
          <w:rFonts w:ascii="Times New Roman" w:eastAsia="Arial" w:hAnsi="Times New Roman"/>
          <w:sz w:val="24"/>
          <w:szCs w:val="24"/>
        </w:rPr>
        <w:t xml:space="preserve"> foi 1,00.</w:t>
      </w:r>
    </w:p>
    <w:p w:rsidR="00BC6C48" w:rsidRPr="002B40FC" w:rsidRDefault="0078518C" w:rsidP="00460133">
      <w:pPr>
        <w:autoSpaceDE w:val="0"/>
        <w:autoSpaceDN w:val="0"/>
        <w:adjustRightInd w:val="0"/>
        <w:spacing w:after="0" w:line="360" w:lineRule="auto"/>
        <w:jc w:val="both"/>
        <w:rPr>
          <w:rFonts w:ascii="Times New Roman" w:eastAsia="Arial" w:hAnsi="Times New Roman"/>
          <w:b/>
          <w:sz w:val="24"/>
          <w:szCs w:val="24"/>
        </w:rPr>
      </w:pPr>
      <w:r w:rsidRPr="002B40FC">
        <w:rPr>
          <w:rFonts w:ascii="Times New Roman" w:eastAsia="Arial" w:hAnsi="Times New Roman"/>
          <w:b/>
          <w:noProof/>
          <w:sz w:val="24"/>
          <w:szCs w:val="24"/>
          <w:lang w:eastAsia="pt-BR"/>
        </w:rPr>
        <w:drawing>
          <wp:inline distT="0" distB="0" distL="0" distR="0">
            <wp:extent cx="5725160" cy="2070072"/>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5.jp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 t="2569" r="593"/>
                    <a:stretch/>
                  </pic:blipFill>
                  <pic:spPr bwMode="auto">
                    <a:xfrm>
                      <a:off x="0" y="0"/>
                      <a:ext cx="5725289" cy="2070119"/>
                    </a:xfrm>
                    <a:prstGeom prst="rect">
                      <a:avLst/>
                    </a:prstGeom>
                    <a:ln>
                      <a:noFill/>
                    </a:ln>
                    <a:extLst>
                      <a:ext uri="{53640926-AAD7-44D8-BBD7-CCE9431645EC}">
                        <a14:shadowObscured xmlns:a14="http://schemas.microsoft.com/office/drawing/2010/main"/>
                      </a:ext>
                    </a:extLst>
                  </pic:spPr>
                </pic:pic>
              </a:graphicData>
            </a:graphic>
          </wp:inline>
        </w:drawing>
      </w:r>
    </w:p>
    <w:p w:rsidR="00BC6C48" w:rsidRPr="00863862" w:rsidRDefault="00BC6C48" w:rsidP="00460133">
      <w:pPr>
        <w:autoSpaceDE w:val="0"/>
        <w:autoSpaceDN w:val="0"/>
        <w:adjustRightInd w:val="0"/>
        <w:spacing w:after="0" w:line="360" w:lineRule="auto"/>
        <w:jc w:val="both"/>
        <w:rPr>
          <w:rFonts w:ascii="Times New Roman" w:eastAsia="Arial" w:hAnsi="Times New Roman"/>
          <w:sz w:val="20"/>
          <w:szCs w:val="24"/>
        </w:rPr>
      </w:pPr>
      <w:r w:rsidRPr="00863862">
        <w:rPr>
          <w:rFonts w:ascii="Times New Roman" w:eastAsia="Arial" w:hAnsi="Times New Roman"/>
          <w:b/>
          <w:sz w:val="20"/>
          <w:szCs w:val="24"/>
        </w:rPr>
        <w:t xml:space="preserve">Figura </w:t>
      </w:r>
      <w:r w:rsidR="00A349C7" w:rsidRPr="00863862">
        <w:rPr>
          <w:rFonts w:ascii="Times New Roman" w:eastAsia="Arial" w:hAnsi="Times New Roman"/>
          <w:b/>
          <w:sz w:val="20"/>
          <w:szCs w:val="24"/>
        </w:rPr>
        <w:t>6</w:t>
      </w:r>
      <w:r w:rsidRPr="00863862">
        <w:rPr>
          <w:rFonts w:ascii="Times New Roman" w:eastAsia="Arial" w:hAnsi="Times New Roman"/>
          <w:sz w:val="20"/>
          <w:szCs w:val="24"/>
        </w:rPr>
        <w:t xml:space="preserve"> - Presença de plantas senescentes (A); Presença de calos em </w:t>
      </w:r>
      <w:r w:rsidRPr="00863862">
        <w:rPr>
          <w:rFonts w:ascii="Times New Roman" w:eastAsia="Arial" w:hAnsi="Times New Roman"/>
          <w:i/>
          <w:sz w:val="20"/>
          <w:szCs w:val="24"/>
        </w:rPr>
        <w:t>Ochroma pyramidales</w:t>
      </w:r>
      <w:r w:rsidRPr="00863862">
        <w:rPr>
          <w:rFonts w:ascii="Times New Roman" w:eastAsia="Arial" w:hAnsi="Times New Roman"/>
          <w:sz w:val="20"/>
          <w:szCs w:val="24"/>
        </w:rPr>
        <w:t xml:space="preserve"> (B). </w:t>
      </w:r>
    </w:p>
    <w:p w:rsidR="000630E8" w:rsidRPr="00863862" w:rsidRDefault="00BC6C48" w:rsidP="00460133">
      <w:pPr>
        <w:autoSpaceDE w:val="0"/>
        <w:autoSpaceDN w:val="0"/>
        <w:adjustRightInd w:val="0"/>
        <w:spacing w:line="360" w:lineRule="auto"/>
        <w:jc w:val="both"/>
        <w:rPr>
          <w:rFonts w:ascii="Times New Roman" w:eastAsia="Arial" w:hAnsi="Times New Roman"/>
          <w:sz w:val="20"/>
          <w:szCs w:val="24"/>
        </w:rPr>
      </w:pPr>
      <w:r w:rsidRPr="00863862">
        <w:rPr>
          <w:rFonts w:ascii="Times New Roman" w:eastAsia="Arial" w:hAnsi="Times New Roman"/>
          <w:sz w:val="20"/>
          <w:szCs w:val="24"/>
        </w:rPr>
        <w:t>*As médias seguidas de mesma letra não diferem entre si pelo Teste Tukey a 5% de probabilidade.</w:t>
      </w:r>
    </w:p>
    <w:p w:rsidR="00505CCE" w:rsidRDefault="00BC6C48" w:rsidP="00460133">
      <w:pPr>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 xml:space="preserve">A calogênese é um evento fisiológico comum na propagação </w:t>
      </w:r>
      <w:r w:rsidRPr="002B40FC">
        <w:rPr>
          <w:rFonts w:ascii="Times New Roman" w:eastAsia="Arial" w:hAnsi="Times New Roman"/>
          <w:i/>
          <w:sz w:val="24"/>
          <w:szCs w:val="24"/>
        </w:rPr>
        <w:t>in vitro</w:t>
      </w:r>
      <w:r w:rsidRPr="002B40FC">
        <w:rPr>
          <w:rFonts w:ascii="Times New Roman" w:eastAsia="Arial" w:hAnsi="Times New Roman"/>
          <w:sz w:val="24"/>
          <w:szCs w:val="24"/>
        </w:rPr>
        <w:t xml:space="preserve"> de espécies lenhosas e relevante em estudos de variabilidade somaclonal nos programas de melhoramento</w:t>
      </w:r>
      <w:r w:rsidR="00215E84" w:rsidRPr="002B40FC">
        <w:rPr>
          <w:rFonts w:ascii="Times New Roman" w:eastAsia="Arial" w:hAnsi="Times New Roman"/>
          <w:sz w:val="24"/>
          <w:szCs w:val="24"/>
        </w:rPr>
        <w:t xml:space="preserve"> genético. Apesar disso, não é, </w:t>
      </w:r>
      <w:r w:rsidRPr="002B40FC">
        <w:rPr>
          <w:rFonts w:ascii="Times New Roman" w:eastAsia="Arial" w:hAnsi="Times New Roman"/>
          <w:sz w:val="24"/>
          <w:szCs w:val="24"/>
        </w:rPr>
        <w:t>considerada favorável na micropropagação, de acordo com Bassan et al., (2006)</w:t>
      </w:r>
      <w:r w:rsidR="00505CCE">
        <w:rPr>
          <w:rFonts w:ascii="Times New Roman" w:eastAsia="Arial" w:hAnsi="Times New Roman"/>
          <w:sz w:val="24"/>
          <w:szCs w:val="24"/>
        </w:rPr>
        <w:t xml:space="preserve"> (Figura 7)</w:t>
      </w:r>
      <w:r w:rsidRPr="002B40FC">
        <w:rPr>
          <w:rFonts w:ascii="Times New Roman" w:eastAsia="Arial" w:hAnsi="Times New Roman"/>
          <w:sz w:val="24"/>
          <w:szCs w:val="24"/>
        </w:rPr>
        <w:t xml:space="preserve">. </w:t>
      </w:r>
    </w:p>
    <w:p w:rsidR="00505CCE" w:rsidRPr="00036A25" w:rsidRDefault="00B35E90" w:rsidP="00A87189">
      <w:pPr>
        <w:autoSpaceDE w:val="0"/>
        <w:autoSpaceDN w:val="0"/>
        <w:adjustRightInd w:val="0"/>
        <w:spacing w:line="360" w:lineRule="auto"/>
        <w:jc w:val="both"/>
        <w:rPr>
          <w:rFonts w:ascii="Times New Roman" w:eastAsia="Arial" w:hAnsi="Times New Roman"/>
          <w:b/>
          <w:sz w:val="20"/>
          <w:szCs w:val="24"/>
        </w:rPr>
      </w:pPr>
      <w:bookmarkStart w:id="0" w:name="_GoBack"/>
      <w:r>
        <w:rPr>
          <w:rFonts w:ascii="Times New Roman" w:eastAsia="Arial" w:hAnsi="Times New Roman"/>
          <w:b/>
          <w:noProof/>
          <w:sz w:val="20"/>
          <w:szCs w:val="24"/>
          <w:lang w:eastAsia="pt-BR"/>
        </w:rPr>
        <w:drawing>
          <wp:inline distT="0" distB="0" distL="0" distR="0">
            <wp:extent cx="5759450" cy="1706491"/>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rotWithShape="1">
                    <a:blip r:embed="rId22">
                      <a:extLst>
                        <a:ext uri="{28A0092B-C50C-407E-A947-70E740481C1C}">
                          <a14:useLocalDpi xmlns:a14="http://schemas.microsoft.com/office/drawing/2010/main" val="0"/>
                        </a:ext>
                      </a:extLst>
                    </a:blip>
                    <a:srcRect b="54528"/>
                    <a:stretch/>
                  </pic:blipFill>
                  <pic:spPr bwMode="auto">
                    <a:xfrm>
                      <a:off x="0" y="0"/>
                      <a:ext cx="5759450" cy="1706491"/>
                    </a:xfrm>
                    <a:prstGeom prst="rect">
                      <a:avLst/>
                    </a:prstGeom>
                    <a:ln>
                      <a:noFill/>
                    </a:ln>
                    <a:extLst>
                      <a:ext uri="{53640926-AAD7-44D8-BBD7-CCE9431645EC}">
                        <a14:shadowObscured xmlns:a14="http://schemas.microsoft.com/office/drawing/2010/main"/>
                      </a:ext>
                    </a:extLst>
                  </pic:spPr>
                </pic:pic>
              </a:graphicData>
            </a:graphic>
          </wp:inline>
        </w:drawing>
      </w:r>
      <w:bookmarkEnd w:id="0"/>
      <w:r w:rsidR="00505CCE" w:rsidRPr="00863862">
        <w:rPr>
          <w:rFonts w:ascii="Times New Roman" w:eastAsia="Arial" w:hAnsi="Times New Roman"/>
          <w:b/>
          <w:sz w:val="20"/>
          <w:szCs w:val="24"/>
        </w:rPr>
        <w:t xml:space="preserve">Figura </w:t>
      </w:r>
      <w:r w:rsidR="00505CCE">
        <w:rPr>
          <w:rFonts w:ascii="Times New Roman" w:eastAsia="Arial" w:hAnsi="Times New Roman"/>
          <w:b/>
          <w:sz w:val="20"/>
          <w:szCs w:val="24"/>
        </w:rPr>
        <w:t>7</w:t>
      </w:r>
      <w:r w:rsidR="00A87189">
        <w:rPr>
          <w:rFonts w:ascii="Times New Roman" w:eastAsia="Arial" w:hAnsi="Times New Roman"/>
          <w:sz w:val="20"/>
          <w:szCs w:val="24"/>
        </w:rPr>
        <w:t xml:space="preserve"> - </w:t>
      </w:r>
      <w:r w:rsidR="00505CCE" w:rsidRPr="00863862">
        <w:rPr>
          <w:rFonts w:ascii="Times New Roman" w:eastAsia="Arial" w:hAnsi="Times New Roman"/>
          <w:sz w:val="20"/>
          <w:szCs w:val="24"/>
        </w:rPr>
        <w:t xml:space="preserve">Presença de calos em </w:t>
      </w:r>
      <w:r w:rsidR="00505CCE" w:rsidRPr="00863862">
        <w:rPr>
          <w:rFonts w:ascii="Times New Roman" w:eastAsia="Arial" w:hAnsi="Times New Roman"/>
          <w:i/>
          <w:sz w:val="20"/>
          <w:szCs w:val="24"/>
        </w:rPr>
        <w:t>Ochroma pyramidales</w:t>
      </w:r>
      <w:r w:rsidR="00505CCE" w:rsidRPr="00863862">
        <w:rPr>
          <w:rFonts w:ascii="Times New Roman" w:eastAsia="Arial" w:hAnsi="Times New Roman"/>
          <w:sz w:val="20"/>
          <w:szCs w:val="24"/>
        </w:rPr>
        <w:t xml:space="preserve"> </w:t>
      </w:r>
      <w:r w:rsidR="00A87189">
        <w:rPr>
          <w:rFonts w:ascii="Times New Roman" w:eastAsia="Arial" w:hAnsi="Times New Roman"/>
          <w:sz w:val="20"/>
          <w:szCs w:val="24"/>
        </w:rPr>
        <w:t>no T2</w:t>
      </w:r>
      <w:r w:rsidR="00505CCE" w:rsidRPr="00863862">
        <w:rPr>
          <w:rFonts w:ascii="Times New Roman" w:eastAsia="Arial" w:hAnsi="Times New Roman"/>
          <w:sz w:val="20"/>
          <w:szCs w:val="24"/>
        </w:rPr>
        <w:t xml:space="preserve">. </w:t>
      </w:r>
    </w:p>
    <w:p w:rsidR="00A87189" w:rsidRDefault="00BC6C48" w:rsidP="00A87189">
      <w:pPr>
        <w:autoSpaceDE w:val="0"/>
        <w:autoSpaceDN w:val="0"/>
        <w:adjustRightInd w:val="0"/>
        <w:spacing w:after="0" w:line="360" w:lineRule="auto"/>
        <w:ind w:firstLine="567"/>
        <w:jc w:val="both"/>
        <w:rPr>
          <w:rFonts w:ascii="Times New Roman" w:eastAsia="Arial" w:hAnsi="Times New Roman"/>
          <w:sz w:val="20"/>
          <w:szCs w:val="24"/>
        </w:rPr>
      </w:pPr>
      <w:r w:rsidRPr="002B40FC">
        <w:rPr>
          <w:rFonts w:ascii="Times New Roman" w:eastAsia="Arial" w:hAnsi="Times New Roman"/>
          <w:sz w:val="24"/>
          <w:szCs w:val="24"/>
        </w:rPr>
        <w:t xml:space="preserve">Células e tecidos cultivados </w:t>
      </w:r>
      <w:r w:rsidRPr="002B40FC">
        <w:rPr>
          <w:rFonts w:ascii="Times New Roman" w:eastAsia="Arial" w:hAnsi="Times New Roman"/>
          <w:i/>
          <w:sz w:val="24"/>
          <w:szCs w:val="24"/>
        </w:rPr>
        <w:t xml:space="preserve">in vitro </w:t>
      </w:r>
      <w:r w:rsidRPr="002B40FC">
        <w:rPr>
          <w:rFonts w:ascii="Times New Roman" w:eastAsia="Arial" w:hAnsi="Times New Roman"/>
          <w:sz w:val="24"/>
          <w:szCs w:val="24"/>
        </w:rPr>
        <w:t xml:space="preserve">não são autotróficos, necessitando de uma fonte externa de carbono no meio para o crescimento e multiplicação celular. O açúcar atua não </w:t>
      </w:r>
      <w:r w:rsidRPr="002B40FC">
        <w:rPr>
          <w:rFonts w:ascii="Times New Roman" w:eastAsia="Arial" w:hAnsi="Times New Roman"/>
          <w:sz w:val="24"/>
          <w:szCs w:val="24"/>
        </w:rPr>
        <w:lastRenderedPageBreak/>
        <w:t>apenas como fonte trófica, mas também como regulador osmótico do meio de cultura, influenciando diretamente no crescimento e morfogênese das culturas (PILATTI, 2011).</w:t>
      </w:r>
    </w:p>
    <w:p w:rsidR="00BC6C48" w:rsidRPr="00A87189" w:rsidRDefault="00BC6C48" w:rsidP="00A87189">
      <w:pPr>
        <w:autoSpaceDE w:val="0"/>
        <w:autoSpaceDN w:val="0"/>
        <w:adjustRightInd w:val="0"/>
        <w:spacing w:after="0" w:line="360" w:lineRule="auto"/>
        <w:ind w:firstLine="567"/>
        <w:jc w:val="both"/>
        <w:rPr>
          <w:rFonts w:ascii="Times New Roman" w:eastAsia="Arial" w:hAnsi="Times New Roman"/>
          <w:sz w:val="20"/>
          <w:szCs w:val="24"/>
        </w:rPr>
      </w:pPr>
      <w:r w:rsidRPr="002B40FC">
        <w:rPr>
          <w:rFonts w:ascii="Times New Roman" w:eastAsia="Arial" w:hAnsi="Times New Roman"/>
          <w:sz w:val="24"/>
          <w:szCs w:val="24"/>
        </w:rPr>
        <w:t xml:space="preserve">Pereira et al., (2003) afirmam que a </w:t>
      </w:r>
      <w:r w:rsidRPr="002B40FC">
        <w:rPr>
          <w:rFonts w:ascii="Times New Roman" w:hAnsi="Times New Roman"/>
          <w:sz w:val="24"/>
          <w:szCs w:val="24"/>
        </w:rPr>
        <w:t xml:space="preserve">sacarose influência nos processos de iniciação e diferenciação de embriões somáticos. </w:t>
      </w:r>
      <w:r w:rsidRPr="002B40FC">
        <w:rPr>
          <w:rFonts w:ascii="Times New Roman" w:eastAsia="Arial" w:hAnsi="Times New Roman"/>
          <w:sz w:val="24"/>
          <w:szCs w:val="24"/>
        </w:rPr>
        <w:t xml:space="preserve">Ribeiro et al., (2015) relataram, que a concentração de sacarose influencia diretamente a formação de calos em </w:t>
      </w:r>
      <w:r w:rsidRPr="002B40FC">
        <w:rPr>
          <w:rFonts w:ascii="Times New Roman" w:eastAsia="Arial" w:hAnsi="Times New Roman"/>
          <w:i/>
          <w:sz w:val="24"/>
          <w:szCs w:val="24"/>
        </w:rPr>
        <w:t>Pfaffia glomerata</w:t>
      </w:r>
      <w:r w:rsidRPr="002B40FC">
        <w:rPr>
          <w:rFonts w:ascii="Times New Roman" w:eastAsia="Arial" w:hAnsi="Times New Roman"/>
          <w:sz w:val="24"/>
          <w:szCs w:val="24"/>
        </w:rPr>
        <w:t>.</w:t>
      </w:r>
    </w:p>
    <w:p w:rsidR="00BC6C48" w:rsidRDefault="00BC6C48" w:rsidP="00460133">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A variável contaminação foi influenciada significativamente pela concentração de sais do meio MS, os resultados demonstram que o meio com 100% de sais apresentou o maior índice de contaminação (49%), enquanto o meio suplementado com 50% de sais resultou em um índice de contaminação menor (33,8%), sendo estes tratamentos difere</w:t>
      </w:r>
      <w:r w:rsidR="008329EC" w:rsidRPr="002B40FC">
        <w:rPr>
          <w:rFonts w:ascii="Times New Roman" w:eastAsia="Arial" w:hAnsi="Times New Roman"/>
          <w:sz w:val="24"/>
          <w:szCs w:val="24"/>
        </w:rPr>
        <w:t>ntes entre si estatisticamente.</w:t>
      </w:r>
    </w:p>
    <w:p w:rsidR="00863862" w:rsidRPr="002B40FC" w:rsidRDefault="00863862" w:rsidP="00460133">
      <w:pPr>
        <w:autoSpaceDE w:val="0"/>
        <w:autoSpaceDN w:val="0"/>
        <w:adjustRightInd w:val="0"/>
        <w:spacing w:after="0" w:line="360" w:lineRule="auto"/>
        <w:ind w:firstLine="567"/>
        <w:jc w:val="both"/>
        <w:rPr>
          <w:rFonts w:ascii="Times New Roman" w:eastAsia="Arial" w:hAnsi="Times New Roman"/>
          <w:sz w:val="24"/>
          <w:szCs w:val="24"/>
        </w:rPr>
      </w:pPr>
    </w:p>
    <w:p w:rsidR="00BC6C48" w:rsidRPr="002B40FC" w:rsidRDefault="0024369A" w:rsidP="00460133">
      <w:pPr>
        <w:autoSpaceDE w:val="0"/>
        <w:autoSpaceDN w:val="0"/>
        <w:adjustRightInd w:val="0"/>
        <w:spacing w:after="0" w:line="360" w:lineRule="auto"/>
        <w:jc w:val="both"/>
        <w:rPr>
          <w:rFonts w:ascii="Times New Roman" w:eastAsia="Arial" w:hAnsi="Times New Roman"/>
          <w:b/>
          <w:sz w:val="24"/>
          <w:szCs w:val="24"/>
        </w:rPr>
      </w:pPr>
      <w:r w:rsidRPr="002B40FC">
        <w:rPr>
          <w:rFonts w:ascii="Times New Roman" w:eastAsia="Arial" w:hAnsi="Times New Roman"/>
          <w:b/>
          <w:sz w:val="24"/>
          <w:szCs w:val="24"/>
        </w:rPr>
        <w:t>CONCLUSÃO</w:t>
      </w:r>
    </w:p>
    <w:p w:rsidR="00BC6C48" w:rsidRPr="002B40FC" w:rsidRDefault="00BC6C48" w:rsidP="00460133">
      <w:pPr>
        <w:autoSpaceDE w:val="0"/>
        <w:autoSpaceDN w:val="0"/>
        <w:adjustRightInd w:val="0"/>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 xml:space="preserve">Existe influência da concentração do meio MS e da sacarose no estabelecimento </w:t>
      </w:r>
      <w:r w:rsidRPr="002B40FC">
        <w:rPr>
          <w:rFonts w:ascii="Times New Roman" w:eastAsia="Arial" w:hAnsi="Times New Roman"/>
          <w:i/>
          <w:sz w:val="24"/>
          <w:szCs w:val="24"/>
        </w:rPr>
        <w:t xml:space="preserve">in vitro </w:t>
      </w:r>
      <w:r w:rsidRPr="002B40FC">
        <w:rPr>
          <w:rFonts w:ascii="Times New Roman" w:eastAsia="Arial" w:hAnsi="Times New Roman"/>
          <w:sz w:val="24"/>
          <w:szCs w:val="24"/>
        </w:rPr>
        <w:t xml:space="preserve">do </w:t>
      </w:r>
      <w:r w:rsidR="00592405">
        <w:rPr>
          <w:rFonts w:ascii="Times New Roman" w:eastAsia="Arial" w:hAnsi="Times New Roman"/>
          <w:i/>
          <w:sz w:val="24"/>
          <w:szCs w:val="24"/>
        </w:rPr>
        <w:t>Ochroma py</w:t>
      </w:r>
      <w:r w:rsidRPr="002B40FC">
        <w:rPr>
          <w:rFonts w:ascii="Times New Roman" w:eastAsia="Arial" w:hAnsi="Times New Roman"/>
          <w:i/>
          <w:sz w:val="24"/>
          <w:szCs w:val="24"/>
        </w:rPr>
        <w:t xml:space="preserve">ramidale. </w:t>
      </w:r>
      <w:r w:rsidRPr="002B40FC">
        <w:rPr>
          <w:rFonts w:ascii="Times New Roman" w:eastAsia="Arial" w:hAnsi="Times New Roman"/>
          <w:sz w:val="24"/>
          <w:szCs w:val="24"/>
        </w:rPr>
        <w:t xml:space="preserve">As sementes de pau-de-balsa, não apresentam comportamento exigente, na germinação </w:t>
      </w:r>
      <w:r w:rsidRPr="002B40FC">
        <w:rPr>
          <w:rFonts w:ascii="Times New Roman" w:eastAsia="Arial" w:hAnsi="Times New Roman"/>
          <w:i/>
          <w:sz w:val="24"/>
          <w:szCs w:val="24"/>
        </w:rPr>
        <w:t>in vitro</w:t>
      </w:r>
      <w:r w:rsidRPr="002B40FC">
        <w:rPr>
          <w:rFonts w:ascii="Times New Roman" w:eastAsia="Arial" w:hAnsi="Times New Roman"/>
          <w:sz w:val="24"/>
          <w:szCs w:val="24"/>
        </w:rPr>
        <w:t>, tendo par de folhas, comprimento radicular, comprimento de parte aérea, massa seca e fresca, além dos menores valores de calogênese, plantas senescentes, e contaminação, obtidos, quando a espécie foi submetida a baixa disponibilidade de sais minerais e sacarose.</w:t>
      </w:r>
    </w:p>
    <w:p w:rsidR="00D6414F" w:rsidRPr="002B40FC" w:rsidRDefault="00D6414F" w:rsidP="00460133">
      <w:pPr>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Os melhores tratamentos, para a maioria das variáveis, foram os que continham 50% do meio MS e as menores doses de sacarose, sendo eles, T1, T2 e T3.</w:t>
      </w:r>
    </w:p>
    <w:p w:rsidR="00D6414F" w:rsidRPr="002B40FC" w:rsidRDefault="00D6414F" w:rsidP="00460133">
      <w:pPr>
        <w:tabs>
          <w:tab w:val="left" w:pos="567"/>
        </w:tabs>
        <w:spacing w:after="0" w:line="360" w:lineRule="auto"/>
        <w:jc w:val="both"/>
        <w:rPr>
          <w:rFonts w:ascii="Times New Roman" w:eastAsia="Arial" w:hAnsi="Times New Roman"/>
          <w:b/>
          <w:sz w:val="24"/>
          <w:szCs w:val="24"/>
        </w:rPr>
      </w:pPr>
    </w:p>
    <w:p w:rsidR="00D6414F" w:rsidRPr="002B40FC" w:rsidRDefault="0024369A" w:rsidP="00460133">
      <w:pPr>
        <w:tabs>
          <w:tab w:val="left" w:pos="567"/>
        </w:tabs>
        <w:spacing w:after="0" w:line="360" w:lineRule="auto"/>
        <w:jc w:val="both"/>
        <w:rPr>
          <w:rFonts w:ascii="Times New Roman" w:eastAsia="Arial" w:hAnsi="Times New Roman"/>
          <w:b/>
          <w:sz w:val="24"/>
          <w:szCs w:val="24"/>
        </w:rPr>
      </w:pPr>
      <w:r w:rsidRPr="002B40FC">
        <w:rPr>
          <w:rFonts w:ascii="Times New Roman" w:eastAsia="Arial" w:hAnsi="Times New Roman"/>
          <w:b/>
          <w:sz w:val="24"/>
          <w:szCs w:val="24"/>
        </w:rPr>
        <w:t>AGRADECIMENTOS</w:t>
      </w:r>
    </w:p>
    <w:p w:rsidR="000B488D" w:rsidRPr="002B40FC" w:rsidRDefault="00D6414F" w:rsidP="00460133">
      <w:pPr>
        <w:spacing w:after="0" w:line="360" w:lineRule="auto"/>
        <w:ind w:firstLine="567"/>
        <w:jc w:val="both"/>
        <w:rPr>
          <w:rFonts w:ascii="Times New Roman" w:eastAsia="Arial" w:hAnsi="Times New Roman"/>
          <w:sz w:val="24"/>
          <w:szCs w:val="24"/>
        </w:rPr>
      </w:pPr>
      <w:r w:rsidRPr="002B40FC">
        <w:rPr>
          <w:rFonts w:ascii="Times New Roman" w:eastAsia="Arial" w:hAnsi="Times New Roman"/>
          <w:sz w:val="24"/>
          <w:szCs w:val="24"/>
        </w:rPr>
        <w:t>À Universidade Estadual de Goiás, pelo incentivo na forma de bolsa de iniciação científica (programa PBIC/UEG) e ao grupo de pesquisa Biogen Cerrado - UEG/Câmpus Ipameri.</w:t>
      </w:r>
    </w:p>
    <w:p w:rsidR="000630E8" w:rsidRPr="002B40FC" w:rsidRDefault="000630E8" w:rsidP="00460133">
      <w:pPr>
        <w:spacing w:after="0" w:line="360" w:lineRule="auto"/>
        <w:ind w:firstLine="567"/>
        <w:jc w:val="both"/>
        <w:rPr>
          <w:rFonts w:ascii="Times New Roman" w:hAnsi="Times New Roman"/>
          <w:b/>
          <w:sz w:val="24"/>
          <w:szCs w:val="24"/>
          <w:lang w:eastAsia="pt-BR"/>
        </w:rPr>
      </w:pPr>
    </w:p>
    <w:p w:rsidR="000B488D" w:rsidRPr="002B40FC" w:rsidRDefault="0024369A" w:rsidP="00460133">
      <w:pPr>
        <w:spacing w:after="0" w:line="360" w:lineRule="auto"/>
        <w:jc w:val="both"/>
        <w:rPr>
          <w:rFonts w:ascii="Times New Roman" w:hAnsi="Times New Roman"/>
          <w:b/>
          <w:sz w:val="24"/>
          <w:szCs w:val="24"/>
          <w:lang w:eastAsia="pt-BR"/>
        </w:rPr>
      </w:pPr>
      <w:r w:rsidRPr="002B40FC">
        <w:rPr>
          <w:rFonts w:ascii="Times New Roman" w:hAnsi="Times New Roman"/>
          <w:b/>
          <w:sz w:val="24"/>
          <w:szCs w:val="24"/>
          <w:lang w:eastAsia="pt-BR"/>
        </w:rPr>
        <w:t>REFERÊNCIAS BIBLIOGRÁFICAS</w:t>
      </w:r>
    </w:p>
    <w:p w:rsidR="00653AB9" w:rsidRPr="00653AB9" w:rsidRDefault="003F6D76"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shd w:val="clear" w:color="auto" w:fill="FFFFFF"/>
        </w:rPr>
        <w:t>ARAÚ</w:t>
      </w:r>
      <w:r w:rsidR="00D6414F" w:rsidRPr="002B40FC">
        <w:rPr>
          <w:rFonts w:ascii="Times New Roman" w:eastAsia="Arial" w:hAnsi="Times New Roman"/>
          <w:sz w:val="24"/>
          <w:szCs w:val="24"/>
          <w:shd w:val="clear" w:color="auto" w:fill="FFFFFF"/>
        </w:rPr>
        <w:t xml:space="preserve">JO, A, G.; FIORINE, C. V. A.; PASQUAL, M.; SILVA, B. A.; VILLA, F. Multiplicação </w:t>
      </w:r>
      <w:r w:rsidR="00D6414F" w:rsidRPr="002B40FC">
        <w:rPr>
          <w:rFonts w:ascii="Times New Roman" w:eastAsia="Arial" w:hAnsi="Times New Roman"/>
          <w:i/>
          <w:sz w:val="24"/>
          <w:szCs w:val="24"/>
          <w:shd w:val="clear" w:color="auto" w:fill="FFFFFF"/>
        </w:rPr>
        <w:t>in vitro</w:t>
      </w:r>
      <w:r w:rsidR="00D6414F" w:rsidRPr="002B40FC">
        <w:rPr>
          <w:rFonts w:ascii="Times New Roman" w:eastAsia="Arial" w:hAnsi="Times New Roman"/>
          <w:sz w:val="24"/>
          <w:szCs w:val="24"/>
          <w:shd w:val="clear" w:color="auto" w:fill="FFFFFF"/>
        </w:rPr>
        <w:t xml:space="preserve"> de gloxínia (</w:t>
      </w:r>
      <w:r w:rsidR="00D6414F" w:rsidRPr="002B40FC">
        <w:rPr>
          <w:rFonts w:ascii="Times New Roman" w:eastAsia="Arial" w:hAnsi="Times New Roman"/>
          <w:i/>
          <w:sz w:val="24"/>
          <w:szCs w:val="24"/>
          <w:shd w:val="clear" w:color="auto" w:fill="FFFFFF"/>
        </w:rPr>
        <w:t xml:space="preserve">Sinningia speciosa </w:t>
      </w:r>
      <w:r w:rsidR="00D6414F" w:rsidRPr="002B40FC">
        <w:rPr>
          <w:rFonts w:ascii="Times New Roman" w:eastAsia="Arial" w:hAnsi="Times New Roman"/>
          <w:sz w:val="24"/>
          <w:szCs w:val="24"/>
          <w:shd w:val="clear" w:color="auto" w:fill="FFFFFF"/>
        </w:rPr>
        <w:t xml:space="preserve">Lood. Hiern.). </w:t>
      </w:r>
      <w:r w:rsidR="00D6414F" w:rsidRPr="002B40FC">
        <w:rPr>
          <w:rFonts w:ascii="Times New Roman" w:eastAsia="Arial" w:hAnsi="Times New Roman"/>
          <w:b/>
          <w:sz w:val="24"/>
          <w:szCs w:val="24"/>
          <w:shd w:val="clear" w:color="auto" w:fill="FFFFFF"/>
        </w:rPr>
        <w:t>Ceres</w:t>
      </w:r>
      <w:r w:rsidR="00D6414F" w:rsidRPr="002B40FC">
        <w:rPr>
          <w:rFonts w:ascii="Times New Roman" w:eastAsia="Arial" w:hAnsi="Times New Roman"/>
          <w:sz w:val="24"/>
          <w:szCs w:val="24"/>
          <w:shd w:val="clear" w:color="auto" w:fill="FFFFFF"/>
        </w:rPr>
        <w:t xml:space="preserve">, Viçosa, </w:t>
      </w:r>
      <w:r w:rsidR="00242DA2" w:rsidRPr="002B40FC">
        <w:rPr>
          <w:rFonts w:ascii="Times New Roman" w:eastAsia="Arial" w:hAnsi="Times New Roman"/>
          <w:sz w:val="24"/>
          <w:szCs w:val="24"/>
          <w:shd w:val="clear" w:color="auto" w:fill="FFFFFF"/>
        </w:rPr>
        <w:t>v. 51, n. 293, p.</w:t>
      </w:r>
      <w:r w:rsidR="00810ECF">
        <w:rPr>
          <w:rFonts w:ascii="Times New Roman" w:eastAsia="Arial" w:hAnsi="Times New Roman"/>
          <w:sz w:val="24"/>
          <w:szCs w:val="24"/>
          <w:shd w:val="clear" w:color="auto" w:fill="FFFFFF"/>
        </w:rPr>
        <w:t xml:space="preserve"> </w:t>
      </w:r>
      <w:r w:rsidR="00242DA2" w:rsidRPr="002B40FC">
        <w:rPr>
          <w:rFonts w:ascii="Times New Roman" w:eastAsia="Arial" w:hAnsi="Times New Roman"/>
          <w:sz w:val="24"/>
          <w:szCs w:val="24"/>
          <w:shd w:val="clear" w:color="auto" w:fill="FFFFFF"/>
        </w:rPr>
        <w:t>117-127, 2015.</w:t>
      </w:r>
    </w:p>
    <w:p w:rsidR="00D6414F" w:rsidRPr="002B40FC" w:rsidRDefault="00D6414F" w:rsidP="00460133">
      <w:pPr>
        <w:spacing w:line="360" w:lineRule="auto"/>
        <w:jc w:val="both"/>
        <w:rPr>
          <w:rFonts w:ascii="Times New Roman" w:eastAsia="Times New Roman" w:hAnsi="Times New Roman"/>
          <w:kern w:val="1"/>
          <w:sz w:val="24"/>
          <w:szCs w:val="24"/>
          <w:shd w:val="clear" w:color="auto" w:fill="FFFFFF"/>
          <w:lang w:eastAsia="pt-BR"/>
        </w:rPr>
      </w:pPr>
      <w:r w:rsidRPr="002B40FC">
        <w:rPr>
          <w:rFonts w:ascii="Times New Roman" w:eastAsia="Times New Roman" w:hAnsi="Times New Roman"/>
          <w:kern w:val="1"/>
          <w:sz w:val="24"/>
          <w:szCs w:val="24"/>
          <w:shd w:val="clear" w:color="auto" w:fill="FFFFFF"/>
          <w:lang w:eastAsia="pt-BR"/>
        </w:rPr>
        <w:t xml:space="preserve">BASSAN, J. S.; REINIGER, L. R. S.; ROCHA, B. H. G.; SEVERO, C. R. P.; FLÔRES, A. V. Oxidação fenólica, tipo de explante e meios de cultura no estabelecimento </w:t>
      </w:r>
      <w:r w:rsidRPr="002B40FC">
        <w:rPr>
          <w:rFonts w:ascii="Times New Roman" w:eastAsia="Times New Roman" w:hAnsi="Times New Roman"/>
          <w:i/>
          <w:kern w:val="1"/>
          <w:sz w:val="24"/>
          <w:szCs w:val="24"/>
          <w:shd w:val="clear" w:color="auto" w:fill="FFFFFF"/>
          <w:lang w:eastAsia="pt-BR"/>
        </w:rPr>
        <w:t>in vitro</w:t>
      </w:r>
      <w:r w:rsidRPr="002B40FC">
        <w:rPr>
          <w:rFonts w:ascii="Times New Roman" w:eastAsia="Times New Roman" w:hAnsi="Times New Roman"/>
          <w:kern w:val="1"/>
          <w:sz w:val="24"/>
          <w:szCs w:val="24"/>
          <w:shd w:val="clear" w:color="auto" w:fill="FFFFFF"/>
          <w:lang w:eastAsia="pt-BR"/>
        </w:rPr>
        <w:t xml:space="preserve"> de canafístula (</w:t>
      </w:r>
      <w:r w:rsidRPr="002B40FC">
        <w:rPr>
          <w:rFonts w:ascii="Times New Roman" w:eastAsia="Times New Roman" w:hAnsi="Times New Roman"/>
          <w:i/>
          <w:kern w:val="1"/>
          <w:sz w:val="24"/>
          <w:szCs w:val="24"/>
          <w:shd w:val="clear" w:color="auto" w:fill="FFFFFF"/>
          <w:lang w:eastAsia="pt-BR"/>
        </w:rPr>
        <w:t>Peltophorumdubium</w:t>
      </w:r>
      <w:r w:rsidRPr="002B40FC">
        <w:rPr>
          <w:rFonts w:ascii="Times New Roman" w:eastAsia="Times New Roman" w:hAnsi="Times New Roman"/>
          <w:kern w:val="1"/>
          <w:sz w:val="24"/>
          <w:szCs w:val="24"/>
          <w:shd w:val="clear" w:color="auto" w:fill="FFFFFF"/>
          <w:lang w:eastAsia="pt-BR"/>
        </w:rPr>
        <w:t xml:space="preserve"> (Spreng.) Taub.). </w:t>
      </w:r>
      <w:r w:rsidRPr="002B40FC">
        <w:rPr>
          <w:rFonts w:ascii="Times New Roman" w:eastAsia="Times New Roman" w:hAnsi="Times New Roman"/>
          <w:b/>
          <w:kern w:val="1"/>
          <w:sz w:val="24"/>
          <w:szCs w:val="24"/>
          <w:shd w:val="clear" w:color="auto" w:fill="FFFFFF"/>
          <w:lang w:eastAsia="pt-BR"/>
        </w:rPr>
        <w:t>Ciência Florestal</w:t>
      </w:r>
      <w:r w:rsidRPr="002B40FC">
        <w:rPr>
          <w:rFonts w:ascii="Times New Roman" w:eastAsia="Times New Roman" w:hAnsi="Times New Roman"/>
          <w:kern w:val="1"/>
          <w:sz w:val="24"/>
          <w:szCs w:val="24"/>
          <w:shd w:val="clear" w:color="auto" w:fill="FFFFFF"/>
          <w:lang w:eastAsia="pt-BR"/>
        </w:rPr>
        <w:t>, Santa Maria, v.</w:t>
      </w:r>
      <w:r w:rsidR="00215E84" w:rsidRPr="002B40FC">
        <w:rPr>
          <w:rFonts w:ascii="Times New Roman" w:eastAsia="Times New Roman" w:hAnsi="Times New Roman"/>
          <w:kern w:val="1"/>
          <w:sz w:val="24"/>
          <w:szCs w:val="24"/>
          <w:shd w:val="clear" w:color="auto" w:fill="FFFFFF"/>
          <w:lang w:eastAsia="pt-BR"/>
        </w:rPr>
        <w:t xml:space="preserve"> </w:t>
      </w:r>
      <w:r w:rsidRPr="002B40FC">
        <w:rPr>
          <w:rFonts w:ascii="Times New Roman" w:eastAsia="Times New Roman" w:hAnsi="Times New Roman"/>
          <w:kern w:val="1"/>
          <w:sz w:val="24"/>
          <w:szCs w:val="24"/>
          <w:shd w:val="clear" w:color="auto" w:fill="FFFFFF"/>
          <w:lang w:eastAsia="pt-BR"/>
        </w:rPr>
        <w:t>16,</w:t>
      </w:r>
      <w:r w:rsidR="00810ECF">
        <w:rPr>
          <w:rFonts w:ascii="Times New Roman" w:eastAsia="Times New Roman" w:hAnsi="Times New Roman"/>
          <w:kern w:val="1"/>
          <w:sz w:val="24"/>
          <w:szCs w:val="24"/>
          <w:shd w:val="clear" w:color="auto" w:fill="FFFFFF"/>
          <w:lang w:eastAsia="pt-BR"/>
        </w:rPr>
        <w:t xml:space="preserve"> n. 1,</w:t>
      </w:r>
      <w:r w:rsidRPr="002B40FC">
        <w:rPr>
          <w:rFonts w:ascii="Times New Roman" w:eastAsia="Times New Roman" w:hAnsi="Times New Roman"/>
          <w:kern w:val="1"/>
          <w:sz w:val="24"/>
          <w:szCs w:val="24"/>
          <w:shd w:val="clear" w:color="auto" w:fill="FFFFFF"/>
          <w:lang w:eastAsia="pt-BR"/>
        </w:rPr>
        <w:t xml:space="preserve"> p.</w:t>
      </w:r>
      <w:r w:rsidR="00810ECF">
        <w:rPr>
          <w:rFonts w:ascii="Times New Roman" w:eastAsia="Times New Roman" w:hAnsi="Times New Roman"/>
          <w:kern w:val="1"/>
          <w:sz w:val="24"/>
          <w:szCs w:val="24"/>
          <w:shd w:val="clear" w:color="auto" w:fill="FFFFFF"/>
          <w:lang w:eastAsia="pt-BR"/>
        </w:rPr>
        <w:t xml:space="preserve"> </w:t>
      </w:r>
      <w:r w:rsidRPr="002B40FC">
        <w:rPr>
          <w:rFonts w:ascii="Times New Roman" w:eastAsia="Times New Roman" w:hAnsi="Times New Roman"/>
          <w:kern w:val="1"/>
          <w:sz w:val="24"/>
          <w:szCs w:val="24"/>
          <w:shd w:val="clear" w:color="auto" w:fill="FFFFFF"/>
          <w:lang w:eastAsia="pt-BR"/>
        </w:rPr>
        <w:t>381-390, 2006.</w:t>
      </w:r>
    </w:p>
    <w:p w:rsidR="00D6414F" w:rsidRPr="002B40FC" w:rsidRDefault="00D6414F" w:rsidP="00460133">
      <w:pPr>
        <w:spacing w:line="360" w:lineRule="auto"/>
        <w:jc w:val="both"/>
        <w:rPr>
          <w:rFonts w:ascii="Times New Roman" w:eastAsia="Times New Roman" w:hAnsi="Times New Roman"/>
          <w:kern w:val="1"/>
          <w:sz w:val="24"/>
          <w:szCs w:val="24"/>
          <w:shd w:val="clear" w:color="auto" w:fill="FFFFFF"/>
          <w:lang w:eastAsia="pt-BR"/>
        </w:rPr>
      </w:pPr>
      <w:r w:rsidRPr="002B40FC">
        <w:rPr>
          <w:rFonts w:ascii="Times New Roman" w:eastAsia="Times New Roman" w:hAnsi="Times New Roman"/>
          <w:kern w:val="1"/>
          <w:sz w:val="24"/>
          <w:szCs w:val="24"/>
          <w:shd w:val="clear" w:color="auto" w:fill="FFFFFF"/>
          <w:lang w:eastAsia="pt-BR"/>
        </w:rPr>
        <w:lastRenderedPageBreak/>
        <w:t xml:space="preserve">CARVALHO, P. E. R. </w:t>
      </w:r>
      <w:r w:rsidRPr="002B40FC">
        <w:rPr>
          <w:rFonts w:ascii="Times New Roman" w:eastAsia="Times New Roman" w:hAnsi="Times New Roman"/>
          <w:b/>
          <w:kern w:val="1"/>
          <w:sz w:val="24"/>
          <w:szCs w:val="24"/>
          <w:shd w:val="clear" w:color="auto" w:fill="FFFFFF"/>
          <w:lang w:eastAsia="pt-BR"/>
        </w:rPr>
        <w:t>Espécies arbóreas brasileiras</w:t>
      </w:r>
      <w:r w:rsidRPr="002B40FC">
        <w:rPr>
          <w:rFonts w:ascii="Times New Roman" w:eastAsia="Times New Roman" w:hAnsi="Times New Roman"/>
          <w:kern w:val="1"/>
          <w:sz w:val="24"/>
          <w:szCs w:val="24"/>
          <w:shd w:val="clear" w:color="auto" w:fill="FFFFFF"/>
          <w:lang w:eastAsia="pt-BR"/>
        </w:rPr>
        <w:t>. Brasília, DF: Embrapa Informação Tecnológica; Co</w:t>
      </w:r>
      <w:r w:rsidR="00897433" w:rsidRPr="002B40FC">
        <w:rPr>
          <w:rFonts w:ascii="Times New Roman" w:eastAsia="Times New Roman" w:hAnsi="Times New Roman"/>
          <w:kern w:val="1"/>
          <w:sz w:val="24"/>
          <w:szCs w:val="24"/>
          <w:shd w:val="clear" w:color="auto" w:fill="FFFFFF"/>
          <w:lang w:eastAsia="pt-BR"/>
        </w:rPr>
        <w:t xml:space="preserve">lombo: Embrapa Florestas, 2010. </w:t>
      </w:r>
      <w:r w:rsidRPr="002B40FC">
        <w:rPr>
          <w:rFonts w:ascii="Times New Roman" w:eastAsia="Times New Roman" w:hAnsi="Times New Roman"/>
          <w:kern w:val="1"/>
          <w:sz w:val="24"/>
          <w:szCs w:val="24"/>
          <w:shd w:val="clear" w:color="auto" w:fill="FFFFFF"/>
          <w:lang w:eastAsia="pt-BR"/>
        </w:rPr>
        <w:t>644 p.</w:t>
      </w:r>
    </w:p>
    <w:p w:rsidR="00D6414F" w:rsidRPr="002B40FC" w:rsidRDefault="00D6414F" w:rsidP="00460133">
      <w:pPr>
        <w:spacing w:line="360" w:lineRule="auto"/>
        <w:jc w:val="both"/>
        <w:rPr>
          <w:rFonts w:ascii="Times New Roman" w:eastAsia="Times New Roman" w:hAnsi="Times New Roman"/>
          <w:kern w:val="1"/>
          <w:sz w:val="24"/>
          <w:szCs w:val="24"/>
          <w:shd w:val="clear" w:color="auto" w:fill="FFFFFF"/>
          <w:lang w:eastAsia="pt-BR"/>
        </w:rPr>
      </w:pPr>
      <w:r w:rsidRPr="002B40FC">
        <w:rPr>
          <w:rFonts w:ascii="Times New Roman" w:eastAsia="Times New Roman" w:hAnsi="Times New Roman"/>
          <w:kern w:val="1"/>
          <w:sz w:val="24"/>
          <w:szCs w:val="24"/>
          <w:shd w:val="clear" w:color="auto" w:fill="FFFFFF"/>
          <w:lang w:eastAsia="pt-BR"/>
        </w:rPr>
        <w:t>DALBERTO, D</w:t>
      </w:r>
      <w:r w:rsidR="0049111F" w:rsidRPr="002B40FC">
        <w:rPr>
          <w:rFonts w:ascii="Times New Roman" w:eastAsia="Times New Roman" w:hAnsi="Times New Roman"/>
          <w:kern w:val="1"/>
          <w:sz w:val="24"/>
          <w:szCs w:val="24"/>
          <w:shd w:val="clear" w:color="auto" w:fill="FFFFFF"/>
          <w:lang w:eastAsia="pt-BR"/>
        </w:rPr>
        <w:t>.</w:t>
      </w:r>
      <w:r w:rsidRPr="002B40FC">
        <w:rPr>
          <w:rFonts w:ascii="Times New Roman" w:eastAsia="Times New Roman" w:hAnsi="Times New Roman"/>
          <w:kern w:val="1"/>
          <w:sz w:val="24"/>
          <w:szCs w:val="24"/>
          <w:shd w:val="clear" w:color="auto" w:fill="FFFFFF"/>
          <w:lang w:eastAsia="pt-BR"/>
        </w:rPr>
        <w:t xml:space="preserve"> S. </w:t>
      </w:r>
      <w:r w:rsidRPr="002B40FC">
        <w:rPr>
          <w:rFonts w:ascii="Times New Roman" w:eastAsia="Times New Roman" w:hAnsi="Times New Roman"/>
          <w:b/>
          <w:kern w:val="1"/>
          <w:sz w:val="24"/>
          <w:szCs w:val="24"/>
          <w:shd w:val="clear" w:color="auto" w:fill="FFFFFF"/>
          <w:lang w:eastAsia="pt-BR"/>
        </w:rPr>
        <w:t xml:space="preserve">Estresse osmótico na germinação de sementes de </w:t>
      </w:r>
      <w:r w:rsidRPr="002B40FC">
        <w:rPr>
          <w:rFonts w:ascii="Times New Roman" w:eastAsia="Times New Roman" w:hAnsi="Times New Roman"/>
          <w:b/>
          <w:i/>
          <w:kern w:val="1"/>
          <w:sz w:val="24"/>
          <w:szCs w:val="24"/>
          <w:shd w:val="clear" w:color="auto" w:fill="FFFFFF"/>
          <w:lang w:eastAsia="pt-BR"/>
        </w:rPr>
        <w:t>Ochroma pyramidale</w:t>
      </w:r>
      <w:r w:rsidRPr="002B40FC">
        <w:rPr>
          <w:rFonts w:ascii="Times New Roman" w:eastAsia="Times New Roman" w:hAnsi="Times New Roman"/>
          <w:b/>
          <w:kern w:val="1"/>
          <w:sz w:val="24"/>
          <w:szCs w:val="24"/>
          <w:shd w:val="clear" w:color="auto" w:fill="FFFFFF"/>
          <w:lang w:eastAsia="pt-BR"/>
        </w:rPr>
        <w:t xml:space="preserve"> (Cav. Ex Lam.) Urb.(Malvaceae)</w:t>
      </w:r>
      <w:r w:rsidRPr="002B40FC">
        <w:rPr>
          <w:rFonts w:ascii="Times New Roman" w:eastAsia="Times New Roman" w:hAnsi="Times New Roman"/>
          <w:kern w:val="1"/>
          <w:sz w:val="24"/>
          <w:szCs w:val="24"/>
          <w:shd w:val="clear" w:color="auto" w:fill="FFFFFF"/>
          <w:lang w:eastAsia="pt-BR"/>
        </w:rPr>
        <w:t xml:space="preserve">. 2012. </w:t>
      </w:r>
      <w:r w:rsidR="00D07692" w:rsidRPr="002B40FC">
        <w:rPr>
          <w:rFonts w:ascii="Times New Roman" w:eastAsia="Times New Roman" w:hAnsi="Times New Roman"/>
          <w:kern w:val="1"/>
          <w:sz w:val="24"/>
          <w:szCs w:val="24"/>
          <w:shd w:val="clear" w:color="auto" w:fill="FFFFFF"/>
          <w:lang w:eastAsia="pt-BR"/>
        </w:rPr>
        <w:t xml:space="preserve">46 f. </w:t>
      </w:r>
      <w:r w:rsidRPr="002B40FC">
        <w:rPr>
          <w:rFonts w:ascii="Times New Roman" w:eastAsia="Times New Roman" w:hAnsi="Times New Roman"/>
          <w:kern w:val="1"/>
          <w:sz w:val="24"/>
          <w:szCs w:val="24"/>
          <w:shd w:val="clear" w:color="auto" w:fill="FFFFFF"/>
          <w:lang w:eastAsia="pt-BR"/>
        </w:rPr>
        <w:t xml:space="preserve">Tese </w:t>
      </w:r>
      <w:r w:rsidR="00D07692" w:rsidRPr="002B40FC">
        <w:rPr>
          <w:rFonts w:ascii="Times New Roman" w:eastAsia="Times New Roman" w:hAnsi="Times New Roman"/>
          <w:kern w:val="1"/>
          <w:sz w:val="24"/>
          <w:szCs w:val="24"/>
          <w:shd w:val="clear" w:color="auto" w:fill="FFFFFF"/>
          <w:lang w:eastAsia="pt-BR"/>
        </w:rPr>
        <w:t>(Mestrado em Ciências Ambientais)</w:t>
      </w:r>
      <w:r w:rsidRPr="002B40FC">
        <w:rPr>
          <w:rFonts w:ascii="Times New Roman" w:eastAsia="Times New Roman" w:hAnsi="Times New Roman"/>
          <w:kern w:val="1"/>
          <w:sz w:val="24"/>
          <w:szCs w:val="24"/>
          <w:shd w:val="clear" w:color="auto" w:fill="FFFFFF"/>
          <w:lang w:eastAsia="pt-BR"/>
        </w:rPr>
        <w:t xml:space="preserve"> </w:t>
      </w:r>
      <w:r w:rsidR="00897433" w:rsidRPr="002B40FC">
        <w:rPr>
          <w:rFonts w:ascii="Times New Roman" w:eastAsia="Times New Roman" w:hAnsi="Times New Roman"/>
          <w:kern w:val="1"/>
          <w:sz w:val="24"/>
          <w:szCs w:val="24"/>
          <w:shd w:val="clear" w:color="auto" w:fill="FFFFFF"/>
          <w:lang w:eastAsia="pt-BR"/>
        </w:rPr>
        <w:t xml:space="preserve">- </w:t>
      </w:r>
      <w:r w:rsidRPr="002B40FC">
        <w:rPr>
          <w:rFonts w:ascii="Times New Roman" w:eastAsia="Times New Roman" w:hAnsi="Times New Roman"/>
          <w:kern w:val="1"/>
          <w:sz w:val="24"/>
          <w:szCs w:val="24"/>
          <w:shd w:val="clear" w:color="auto" w:fill="FFFFFF"/>
          <w:lang w:eastAsia="pt-BR"/>
        </w:rPr>
        <w:t>Universidade do Estado de Mato Grosso.</w:t>
      </w:r>
      <w:r w:rsidR="00897433" w:rsidRPr="002B40FC">
        <w:rPr>
          <w:rFonts w:ascii="Times New Roman" w:eastAsia="Times New Roman" w:hAnsi="Times New Roman"/>
          <w:kern w:val="1"/>
          <w:sz w:val="24"/>
          <w:szCs w:val="24"/>
          <w:shd w:val="clear" w:color="auto" w:fill="FFFFFF"/>
          <w:lang w:eastAsia="pt-BR"/>
        </w:rPr>
        <w:t xml:space="preserve"> 2012</w:t>
      </w:r>
      <w:r w:rsidR="00A413D5" w:rsidRPr="002B40FC">
        <w:rPr>
          <w:rFonts w:ascii="Times New Roman" w:eastAsia="Times New Roman" w:hAnsi="Times New Roman"/>
          <w:kern w:val="1"/>
          <w:sz w:val="24"/>
          <w:szCs w:val="24"/>
          <w:shd w:val="clear" w:color="auto" w:fill="FFFFFF"/>
          <w:lang w:eastAsia="pt-BR"/>
        </w:rPr>
        <w:t>.</w:t>
      </w:r>
    </w:p>
    <w:p w:rsidR="00D6414F" w:rsidRPr="00653AB9" w:rsidRDefault="00D6414F" w:rsidP="00460133">
      <w:pPr>
        <w:spacing w:line="360" w:lineRule="auto"/>
        <w:jc w:val="both"/>
        <w:rPr>
          <w:rFonts w:ascii="Times New Roman" w:eastAsia="Times New Roman" w:hAnsi="Times New Roman"/>
          <w:sz w:val="24"/>
          <w:szCs w:val="24"/>
          <w:lang w:eastAsia="pt-BR"/>
        </w:rPr>
      </w:pPr>
      <w:r w:rsidRPr="002B40FC">
        <w:rPr>
          <w:rFonts w:ascii="Times New Roman" w:eastAsia="Times New Roman" w:hAnsi="Times New Roman"/>
          <w:sz w:val="24"/>
          <w:szCs w:val="24"/>
          <w:lang w:eastAsia="pt-BR"/>
        </w:rPr>
        <w:t xml:space="preserve">DAMIANI, C. R.; SCHUCH, M. W. Enraizamento </w:t>
      </w:r>
      <w:r w:rsidRPr="002B40FC">
        <w:rPr>
          <w:rFonts w:ascii="Times New Roman" w:eastAsia="Times New Roman" w:hAnsi="Times New Roman"/>
          <w:i/>
          <w:sz w:val="24"/>
          <w:szCs w:val="24"/>
          <w:lang w:eastAsia="pt-BR"/>
        </w:rPr>
        <w:t>in vitro</w:t>
      </w:r>
      <w:r w:rsidRPr="002B40FC">
        <w:rPr>
          <w:rFonts w:ascii="Times New Roman" w:eastAsia="Times New Roman" w:hAnsi="Times New Roman"/>
          <w:sz w:val="24"/>
          <w:szCs w:val="24"/>
          <w:lang w:eastAsia="pt-BR"/>
        </w:rPr>
        <w:t xml:space="preserve"> de mirtilo em condições fotoautotróficas. </w:t>
      </w:r>
      <w:r w:rsidRPr="002B40FC">
        <w:rPr>
          <w:rFonts w:ascii="Times New Roman" w:eastAsia="Times New Roman" w:hAnsi="Times New Roman"/>
          <w:b/>
          <w:sz w:val="24"/>
          <w:szCs w:val="24"/>
          <w:lang w:eastAsia="pt-BR"/>
        </w:rPr>
        <w:t>Ciência Rural</w:t>
      </w:r>
      <w:r w:rsidRPr="002B40FC">
        <w:rPr>
          <w:rFonts w:ascii="Times New Roman" w:eastAsia="Times New Roman" w:hAnsi="Times New Roman"/>
          <w:sz w:val="24"/>
          <w:szCs w:val="24"/>
          <w:lang w:eastAsia="pt-BR"/>
        </w:rPr>
        <w:t>, Santa Maria, v.</w:t>
      </w:r>
      <w:r w:rsidR="00215E84" w:rsidRPr="002B40FC">
        <w:rPr>
          <w:rFonts w:ascii="Times New Roman" w:eastAsia="Times New Roman" w:hAnsi="Times New Roman"/>
          <w:sz w:val="24"/>
          <w:szCs w:val="24"/>
          <w:lang w:eastAsia="pt-BR"/>
        </w:rPr>
        <w:t xml:space="preserve"> </w:t>
      </w:r>
      <w:r w:rsidRPr="002B40FC">
        <w:rPr>
          <w:rFonts w:ascii="Times New Roman" w:eastAsia="Times New Roman" w:hAnsi="Times New Roman"/>
          <w:sz w:val="24"/>
          <w:szCs w:val="24"/>
          <w:lang w:eastAsia="pt-BR"/>
        </w:rPr>
        <w:t>39, n. 4, p.</w:t>
      </w:r>
      <w:r w:rsidR="00810ECF">
        <w:rPr>
          <w:rFonts w:ascii="Times New Roman" w:eastAsia="Times New Roman" w:hAnsi="Times New Roman"/>
          <w:sz w:val="24"/>
          <w:szCs w:val="24"/>
          <w:lang w:eastAsia="pt-BR"/>
        </w:rPr>
        <w:t xml:space="preserve"> </w:t>
      </w:r>
      <w:r w:rsidRPr="002B40FC">
        <w:rPr>
          <w:rFonts w:ascii="Times New Roman" w:eastAsia="Times New Roman" w:hAnsi="Times New Roman"/>
          <w:sz w:val="24"/>
          <w:szCs w:val="24"/>
          <w:lang w:eastAsia="pt-BR"/>
        </w:rPr>
        <w:t>1012-1017, 2009.</w:t>
      </w:r>
    </w:p>
    <w:p w:rsidR="00D6414F" w:rsidRPr="002B40FC"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DANTAS, M. C. A.; CERETTA, M.; COUTINHO, F. E.; FORTES, G. R. de L. Enraizamento </w:t>
      </w:r>
      <w:r w:rsidRPr="002B40FC">
        <w:rPr>
          <w:rFonts w:ascii="Times New Roman" w:eastAsia="Arial" w:hAnsi="Times New Roman"/>
          <w:i/>
          <w:sz w:val="24"/>
          <w:szCs w:val="24"/>
        </w:rPr>
        <w:t>in vitro</w:t>
      </w:r>
      <w:r w:rsidRPr="002B40FC">
        <w:rPr>
          <w:rFonts w:ascii="Times New Roman" w:eastAsia="Arial" w:hAnsi="Times New Roman"/>
          <w:sz w:val="24"/>
          <w:szCs w:val="24"/>
        </w:rPr>
        <w:t xml:space="preserve"> da amoreira-preta (</w:t>
      </w:r>
      <w:r w:rsidRPr="002B40FC">
        <w:rPr>
          <w:rFonts w:ascii="Times New Roman" w:eastAsia="Arial" w:hAnsi="Times New Roman"/>
          <w:i/>
          <w:sz w:val="24"/>
          <w:szCs w:val="24"/>
        </w:rPr>
        <w:t>Rubus</w:t>
      </w:r>
      <w:r w:rsidRPr="002B40FC">
        <w:rPr>
          <w:rFonts w:ascii="Times New Roman" w:eastAsia="Arial" w:hAnsi="Times New Roman"/>
          <w:sz w:val="24"/>
          <w:szCs w:val="24"/>
        </w:rPr>
        <w:t xml:space="preserve"> sp.), cultivar Caigangue. </w:t>
      </w:r>
      <w:r w:rsidRPr="002B40FC">
        <w:rPr>
          <w:rFonts w:ascii="Times New Roman" w:eastAsia="Arial" w:hAnsi="Times New Roman"/>
          <w:b/>
          <w:sz w:val="24"/>
          <w:szCs w:val="24"/>
        </w:rPr>
        <w:t>Agropecuária de Clima Temperado</w:t>
      </w:r>
      <w:r w:rsidRPr="002B40FC">
        <w:rPr>
          <w:rFonts w:ascii="Times New Roman" w:eastAsia="Arial" w:hAnsi="Times New Roman"/>
          <w:sz w:val="24"/>
          <w:szCs w:val="24"/>
        </w:rPr>
        <w:t xml:space="preserve">, Pelotas, v. 3, n. 2, p. 123-130, 2000. </w:t>
      </w:r>
    </w:p>
    <w:p w:rsidR="00D6414F" w:rsidRPr="00653AB9"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shd w:val="clear" w:color="auto" w:fill="FFFFFF"/>
        </w:rPr>
        <w:t>DE MOURA, L. C.; TITON, M.; FERNANDES, J. S. C.; SANTANA, R. C.; OLIVEIRA, M. L. R. DE. Micropropagação de sucupira-pr</w:t>
      </w:r>
      <w:r w:rsidR="00653AB9">
        <w:rPr>
          <w:rFonts w:ascii="Times New Roman" w:eastAsia="Arial" w:hAnsi="Times New Roman"/>
          <w:sz w:val="24"/>
          <w:szCs w:val="24"/>
          <w:shd w:val="clear" w:color="auto" w:fill="FFFFFF"/>
        </w:rPr>
        <w:t xml:space="preserve">eta por meio de gemas axilares. </w:t>
      </w:r>
      <w:r w:rsidRPr="002B40FC">
        <w:rPr>
          <w:rFonts w:ascii="Times New Roman" w:eastAsia="Arial" w:hAnsi="Times New Roman"/>
          <w:b/>
          <w:sz w:val="24"/>
          <w:szCs w:val="24"/>
        </w:rPr>
        <w:t>Pesquisa Agropecuária Brasileira</w:t>
      </w:r>
      <w:r w:rsidRPr="002B40FC">
        <w:rPr>
          <w:rFonts w:ascii="Times New Roman" w:eastAsia="Arial" w:hAnsi="Times New Roman"/>
          <w:b/>
          <w:sz w:val="24"/>
          <w:szCs w:val="24"/>
          <w:shd w:val="clear" w:color="auto" w:fill="FFFFFF"/>
        </w:rPr>
        <w:t xml:space="preserve">, </w:t>
      </w:r>
      <w:r w:rsidRPr="002B40FC">
        <w:rPr>
          <w:rFonts w:ascii="Times New Roman" w:eastAsia="Arial" w:hAnsi="Times New Roman"/>
          <w:sz w:val="24"/>
          <w:szCs w:val="24"/>
          <w:shd w:val="clear" w:color="auto" w:fill="FFFFFF"/>
        </w:rPr>
        <w:t>Brasília, v. 47, n. 12, p. 1691-1698, 2012.</w:t>
      </w:r>
    </w:p>
    <w:p w:rsidR="00D6414F" w:rsidRPr="002B40FC" w:rsidRDefault="00D6414F" w:rsidP="00460133">
      <w:pPr>
        <w:spacing w:line="360" w:lineRule="auto"/>
        <w:jc w:val="both"/>
        <w:rPr>
          <w:rFonts w:ascii="Times New Roman" w:eastAsia="Times New Roman" w:hAnsi="Times New Roman"/>
          <w:sz w:val="24"/>
          <w:szCs w:val="24"/>
          <w:lang w:val="en-US" w:eastAsia="pt-BR"/>
        </w:rPr>
      </w:pPr>
      <w:r w:rsidRPr="002B40FC">
        <w:rPr>
          <w:rFonts w:ascii="Times New Roman" w:eastAsia="Times New Roman" w:hAnsi="Times New Roman"/>
          <w:sz w:val="24"/>
          <w:szCs w:val="24"/>
          <w:lang w:val="en-US" w:eastAsia="pt-BR"/>
        </w:rPr>
        <w:t xml:space="preserve">GAUCHAN, D. P. Effect of </w:t>
      </w:r>
      <w:r w:rsidR="00810ECF" w:rsidRPr="002B40FC">
        <w:rPr>
          <w:rFonts w:ascii="Times New Roman" w:eastAsia="Times New Roman" w:hAnsi="Times New Roman"/>
          <w:sz w:val="24"/>
          <w:szCs w:val="24"/>
          <w:lang w:val="en-US" w:eastAsia="pt-BR"/>
        </w:rPr>
        <w:t>different</w:t>
      </w:r>
      <w:r w:rsidRPr="002B40FC">
        <w:rPr>
          <w:rFonts w:ascii="Times New Roman" w:eastAsia="Times New Roman" w:hAnsi="Times New Roman"/>
          <w:sz w:val="24"/>
          <w:szCs w:val="24"/>
          <w:lang w:val="en-US" w:eastAsia="pt-BR"/>
        </w:rPr>
        <w:t xml:space="preserve"> sugar son shoot regeneration of maize (</w:t>
      </w:r>
      <w:r w:rsidRPr="002B40FC">
        <w:rPr>
          <w:rFonts w:ascii="Times New Roman" w:eastAsia="Times New Roman" w:hAnsi="Times New Roman"/>
          <w:i/>
          <w:sz w:val="24"/>
          <w:szCs w:val="24"/>
          <w:lang w:val="en-US" w:eastAsia="pt-BR"/>
        </w:rPr>
        <w:t xml:space="preserve">zea mays </w:t>
      </w:r>
      <w:r w:rsidRPr="002B40FC">
        <w:rPr>
          <w:rFonts w:ascii="Times New Roman" w:eastAsia="Times New Roman" w:hAnsi="Times New Roman"/>
          <w:sz w:val="24"/>
          <w:szCs w:val="24"/>
          <w:lang w:val="en-US" w:eastAsia="pt-BR"/>
        </w:rPr>
        <w:t xml:space="preserve">L.). </w:t>
      </w:r>
      <w:r w:rsidR="00897433" w:rsidRPr="002B40FC">
        <w:rPr>
          <w:rFonts w:ascii="Times New Roman" w:eastAsia="Times New Roman" w:hAnsi="Times New Roman"/>
          <w:b/>
          <w:sz w:val="24"/>
          <w:szCs w:val="24"/>
          <w:lang w:val="en-US" w:eastAsia="pt-BR"/>
        </w:rPr>
        <w:t>Kathmandu</w:t>
      </w:r>
      <w:r w:rsidRPr="002B40FC">
        <w:rPr>
          <w:rFonts w:ascii="Times New Roman" w:eastAsia="Times New Roman" w:hAnsi="Times New Roman"/>
          <w:b/>
          <w:sz w:val="24"/>
          <w:szCs w:val="24"/>
          <w:lang w:val="en-US" w:eastAsia="pt-BR"/>
        </w:rPr>
        <w:t xml:space="preserve"> </w:t>
      </w:r>
      <w:r w:rsidR="00897433" w:rsidRPr="002B40FC">
        <w:rPr>
          <w:rFonts w:ascii="Times New Roman" w:eastAsia="Times New Roman" w:hAnsi="Times New Roman"/>
          <w:b/>
          <w:sz w:val="24"/>
          <w:szCs w:val="24"/>
          <w:lang w:val="en-US" w:eastAsia="pt-BR"/>
        </w:rPr>
        <w:t>University</w:t>
      </w:r>
      <w:r w:rsidRPr="002B40FC">
        <w:rPr>
          <w:rFonts w:ascii="Times New Roman" w:eastAsia="Times New Roman" w:hAnsi="Times New Roman"/>
          <w:b/>
          <w:sz w:val="24"/>
          <w:szCs w:val="24"/>
          <w:lang w:val="en-US" w:eastAsia="pt-BR"/>
        </w:rPr>
        <w:t xml:space="preserve"> Journal of Science, Engineering and Technology</w:t>
      </w:r>
      <w:r w:rsidR="00810ECF">
        <w:rPr>
          <w:rFonts w:ascii="Times New Roman" w:eastAsia="Times New Roman" w:hAnsi="Times New Roman"/>
          <w:sz w:val="24"/>
          <w:szCs w:val="24"/>
          <w:lang w:val="en-US" w:eastAsia="pt-BR"/>
        </w:rPr>
        <w:t>, Kath</w:t>
      </w:r>
      <w:r w:rsidRPr="002B40FC">
        <w:rPr>
          <w:rFonts w:ascii="Times New Roman" w:eastAsia="Times New Roman" w:hAnsi="Times New Roman"/>
          <w:sz w:val="24"/>
          <w:szCs w:val="24"/>
          <w:lang w:val="en-US" w:eastAsia="pt-BR"/>
        </w:rPr>
        <w:t>mandu</w:t>
      </w:r>
      <w:r w:rsidRPr="002B40FC">
        <w:rPr>
          <w:rFonts w:ascii="Times New Roman" w:eastAsia="Times New Roman" w:hAnsi="Times New Roman"/>
          <w:b/>
          <w:sz w:val="24"/>
          <w:szCs w:val="24"/>
          <w:lang w:val="en-US" w:eastAsia="pt-BR"/>
        </w:rPr>
        <w:t>,</w:t>
      </w:r>
      <w:r w:rsidR="00810ECF">
        <w:rPr>
          <w:rFonts w:ascii="Times New Roman" w:eastAsia="Times New Roman" w:hAnsi="Times New Roman"/>
          <w:sz w:val="24"/>
          <w:szCs w:val="24"/>
          <w:lang w:val="en-US" w:eastAsia="pt-BR"/>
        </w:rPr>
        <w:t xml:space="preserve"> v. </w:t>
      </w:r>
      <w:r w:rsidRPr="002B40FC">
        <w:rPr>
          <w:rFonts w:ascii="Times New Roman" w:eastAsia="Times New Roman" w:hAnsi="Times New Roman"/>
          <w:sz w:val="24"/>
          <w:szCs w:val="24"/>
          <w:lang w:val="en-US" w:eastAsia="pt-BR"/>
        </w:rPr>
        <w:t>8, n. 1, p. 119-124, 2012.</w:t>
      </w:r>
    </w:p>
    <w:p w:rsidR="00D6414F" w:rsidRPr="002B40FC" w:rsidRDefault="00D6414F" w:rsidP="00460133">
      <w:pPr>
        <w:spacing w:line="360" w:lineRule="auto"/>
        <w:jc w:val="both"/>
        <w:rPr>
          <w:rFonts w:ascii="Times New Roman" w:eastAsia="Times New Roman" w:hAnsi="Times New Roman"/>
          <w:sz w:val="24"/>
          <w:szCs w:val="24"/>
          <w:lang w:val="en-US" w:eastAsia="pt-BR"/>
        </w:rPr>
      </w:pPr>
      <w:r w:rsidRPr="002B40FC">
        <w:rPr>
          <w:rFonts w:ascii="Times New Roman" w:eastAsia="Times New Roman" w:hAnsi="Times New Roman"/>
          <w:sz w:val="24"/>
          <w:szCs w:val="24"/>
          <w:lang w:val="en-US" w:eastAsia="pt-BR"/>
        </w:rPr>
        <w:t xml:space="preserve">LAMPRECHT, H. </w:t>
      </w:r>
      <w:r w:rsidRPr="002B40FC">
        <w:rPr>
          <w:rFonts w:ascii="Times New Roman" w:eastAsia="Times New Roman" w:hAnsi="Times New Roman"/>
          <w:b/>
          <w:sz w:val="24"/>
          <w:szCs w:val="24"/>
          <w:lang w:val="en-US" w:eastAsia="pt-BR"/>
        </w:rPr>
        <w:t>Silvicultura nos trópicos: ecossistemas florestais e respectivas espécies arbóreas: possibilidade e métodos de aproveitamento sustentado</w:t>
      </w:r>
      <w:r w:rsidR="00897433" w:rsidRPr="002B40FC">
        <w:rPr>
          <w:rFonts w:ascii="Times New Roman" w:eastAsia="Times New Roman" w:hAnsi="Times New Roman"/>
          <w:sz w:val="24"/>
          <w:szCs w:val="24"/>
          <w:lang w:val="en-US" w:eastAsia="pt-BR"/>
        </w:rPr>
        <w:t xml:space="preserve">. </w:t>
      </w:r>
      <w:r w:rsidR="008E26FB">
        <w:rPr>
          <w:rFonts w:ascii="Times New Roman" w:eastAsia="Times New Roman" w:hAnsi="Times New Roman"/>
          <w:sz w:val="24"/>
          <w:szCs w:val="24"/>
          <w:lang w:val="en-US" w:eastAsia="pt-BR"/>
        </w:rPr>
        <w:t xml:space="preserve">FAO, </w:t>
      </w:r>
      <w:r w:rsidR="00897433" w:rsidRPr="002B40FC">
        <w:rPr>
          <w:rFonts w:ascii="Times New Roman" w:eastAsia="Times New Roman" w:hAnsi="Times New Roman"/>
          <w:sz w:val="24"/>
          <w:szCs w:val="24"/>
          <w:lang w:val="en-US" w:eastAsia="pt-BR"/>
        </w:rPr>
        <w:t>Zusammenarbeit. 343</w:t>
      </w:r>
      <w:r w:rsidRPr="002B40FC">
        <w:rPr>
          <w:rFonts w:ascii="Times New Roman" w:eastAsia="Times New Roman" w:hAnsi="Times New Roman"/>
          <w:sz w:val="24"/>
          <w:szCs w:val="24"/>
          <w:lang w:val="en-US" w:eastAsia="pt-BR"/>
        </w:rPr>
        <w:t>p.</w:t>
      </w:r>
      <w:r w:rsidR="00897433" w:rsidRPr="002B40FC">
        <w:rPr>
          <w:rFonts w:ascii="Times New Roman" w:eastAsia="Times New Roman" w:hAnsi="Times New Roman"/>
          <w:sz w:val="24"/>
          <w:szCs w:val="24"/>
          <w:lang w:val="en-US" w:eastAsia="pt-BR"/>
        </w:rPr>
        <w:t xml:space="preserve"> 1990.</w:t>
      </w:r>
    </w:p>
    <w:p w:rsidR="00142908" w:rsidRPr="00653AB9"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LORENZI, H. </w:t>
      </w:r>
      <w:r w:rsidRPr="002B40FC">
        <w:rPr>
          <w:rFonts w:ascii="Times New Roman" w:eastAsia="Arial" w:hAnsi="Times New Roman"/>
          <w:b/>
          <w:sz w:val="24"/>
          <w:szCs w:val="24"/>
        </w:rPr>
        <w:t>Árvores brasileiras: manual de identificação e cultivo de plantas arbóreas nativas do Brasil</w:t>
      </w:r>
      <w:r w:rsidRPr="002B40FC">
        <w:rPr>
          <w:rFonts w:ascii="Times New Roman" w:eastAsia="Arial" w:hAnsi="Times New Roman"/>
          <w:sz w:val="24"/>
          <w:szCs w:val="24"/>
        </w:rPr>
        <w:t>. Editora Plantarum, Nova Odessa, 351p. 1992.</w:t>
      </w:r>
    </w:p>
    <w:p w:rsidR="00D6414F" w:rsidRPr="002B40FC" w:rsidRDefault="00D6414F"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shd w:val="clear" w:color="auto" w:fill="FFFFFF"/>
        </w:rPr>
        <w:t xml:space="preserve">MONFORT, L. E. F.; ALVARENGA, I. C. A.; MOREIRA, C. M.; PINTO, J. E. B. P.; BERTOLUCCI, S. K. V.; ANDRADE, H. B. DE. Desenvolvimento </w:t>
      </w:r>
      <w:r w:rsidRPr="002B40FC">
        <w:rPr>
          <w:rFonts w:ascii="Times New Roman" w:eastAsia="Arial" w:hAnsi="Times New Roman"/>
          <w:i/>
          <w:sz w:val="24"/>
          <w:szCs w:val="24"/>
          <w:shd w:val="clear" w:color="auto" w:fill="FFFFFF"/>
        </w:rPr>
        <w:t>in vitro</w:t>
      </w:r>
      <w:r w:rsidRPr="002B40FC">
        <w:rPr>
          <w:rFonts w:ascii="Times New Roman" w:eastAsia="Arial" w:hAnsi="Times New Roman"/>
          <w:sz w:val="24"/>
          <w:szCs w:val="24"/>
          <w:shd w:val="clear" w:color="auto" w:fill="FFFFFF"/>
        </w:rPr>
        <w:t xml:space="preserve"> de </w:t>
      </w:r>
      <w:r w:rsidRPr="002B40FC">
        <w:rPr>
          <w:rFonts w:ascii="Times New Roman" w:eastAsia="Arial" w:hAnsi="Times New Roman"/>
          <w:i/>
          <w:sz w:val="24"/>
          <w:szCs w:val="24"/>
          <w:shd w:val="clear" w:color="auto" w:fill="FFFFFF"/>
        </w:rPr>
        <w:t>Ocimum selloi</w:t>
      </w:r>
      <w:r w:rsidRPr="002B40FC">
        <w:rPr>
          <w:rFonts w:ascii="Times New Roman" w:eastAsia="Arial" w:hAnsi="Times New Roman"/>
          <w:sz w:val="24"/>
          <w:szCs w:val="24"/>
          <w:shd w:val="clear" w:color="auto" w:fill="FFFFFF"/>
        </w:rPr>
        <w:t xml:space="preserve"> em diferentes v</w:t>
      </w:r>
      <w:r w:rsidR="00FD2A74" w:rsidRPr="002B40FC">
        <w:rPr>
          <w:rFonts w:ascii="Times New Roman" w:eastAsia="Arial" w:hAnsi="Times New Roman"/>
          <w:sz w:val="24"/>
          <w:szCs w:val="24"/>
          <w:shd w:val="clear" w:color="auto" w:fill="FFFFFF"/>
        </w:rPr>
        <w:t xml:space="preserve">ariações do meio de cultivo MS. </w:t>
      </w:r>
      <w:r w:rsidRPr="002B40FC">
        <w:rPr>
          <w:rFonts w:ascii="Times New Roman" w:eastAsia="Arial" w:hAnsi="Times New Roman"/>
          <w:b/>
          <w:sz w:val="24"/>
          <w:szCs w:val="24"/>
          <w:shd w:val="clear" w:color="auto" w:fill="FFFFFF"/>
        </w:rPr>
        <w:t>Horticultura Brasileira</w:t>
      </w:r>
      <w:r w:rsidRPr="002B40FC">
        <w:rPr>
          <w:rFonts w:ascii="Times New Roman" w:eastAsia="Arial" w:hAnsi="Times New Roman"/>
          <w:sz w:val="24"/>
          <w:szCs w:val="24"/>
          <w:shd w:val="clear" w:color="auto" w:fill="FFFFFF"/>
        </w:rPr>
        <w:t xml:space="preserve">, Brasília, v. 29, n. 2, p. 4692-4697, 2011. </w:t>
      </w:r>
    </w:p>
    <w:p w:rsidR="00D6414F" w:rsidRPr="00653AB9" w:rsidRDefault="00A413D5"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shd w:val="clear" w:color="auto" w:fill="FFFFFF"/>
        </w:rPr>
        <w:t>MONFORT, L. E. F; PINTO, J. E. B. P.;</w:t>
      </w:r>
      <w:r w:rsidR="00142908" w:rsidRPr="002B40FC">
        <w:rPr>
          <w:rFonts w:ascii="Times New Roman" w:eastAsia="Arial" w:hAnsi="Times New Roman"/>
          <w:sz w:val="24"/>
          <w:szCs w:val="24"/>
          <w:shd w:val="clear" w:color="auto" w:fill="FFFFFF"/>
        </w:rPr>
        <w:t xml:space="preserve"> </w:t>
      </w:r>
      <w:r w:rsidRPr="002B40FC">
        <w:rPr>
          <w:rFonts w:ascii="Times New Roman" w:eastAsia="Arial" w:hAnsi="Times New Roman"/>
          <w:sz w:val="24"/>
          <w:szCs w:val="24"/>
          <w:shd w:val="clear" w:color="auto" w:fill="FFFFFF"/>
        </w:rPr>
        <w:t>BERTOLUCCI, S. K. V</w:t>
      </w:r>
      <w:r w:rsidR="00D6414F" w:rsidRPr="002B40FC">
        <w:rPr>
          <w:rFonts w:ascii="Times New Roman" w:eastAsia="Arial" w:hAnsi="Times New Roman"/>
          <w:sz w:val="24"/>
          <w:szCs w:val="24"/>
          <w:shd w:val="clear" w:color="auto" w:fill="FFFFFF"/>
        </w:rPr>
        <w:t>.</w:t>
      </w:r>
      <w:r w:rsidRPr="002B40FC">
        <w:rPr>
          <w:rFonts w:ascii="Times New Roman" w:eastAsia="Arial" w:hAnsi="Times New Roman"/>
          <w:sz w:val="24"/>
          <w:szCs w:val="24"/>
          <w:shd w:val="clear" w:color="auto" w:fill="FFFFFF"/>
        </w:rPr>
        <w:t>; ROSSI, Z. T.T.; LIMA, A. F.; SILVA, S. T.; SILVA, G. M.</w:t>
      </w:r>
      <w:r w:rsidR="00D6414F" w:rsidRPr="002B40FC">
        <w:rPr>
          <w:rFonts w:ascii="Times New Roman" w:eastAsia="Arial" w:hAnsi="Times New Roman"/>
          <w:sz w:val="24"/>
          <w:szCs w:val="24"/>
          <w:shd w:val="clear" w:color="auto" w:fill="FFFFFF"/>
        </w:rPr>
        <w:t xml:space="preserve"> </w:t>
      </w:r>
      <w:r w:rsidR="00D6414F" w:rsidRPr="002B40FC">
        <w:rPr>
          <w:rFonts w:ascii="Times New Roman" w:eastAsia="Arial" w:hAnsi="Times New Roman"/>
          <w:sz w:val="24"/>
          <w:szCs w:val="24"/>
          <w:shd w:val="clear" w:color="auto" w:fill="FFFFFF"/>
          <w:lang w:val="en-US"/>
        </w:rPr>
        <w:t xml:space="preserve">Micropropagation and </w:t>
      </w:r>
      <w:r w:rsidR="00D6414F" w:rsidRPr="002B40FC">
        <w:rPr>
          <w:rFonts w:ascii="Times New Roman" w:eastAsia="Arial" w:hAnsi="Times New Roman"/>
          <w:i/>
          <w:sz w:val="24"/>
          <w:szCs w:val="24"/>
          <w:shd w:val="clear" w:color="auto" w:fill="FFFFFF"/>
          <w:lang w:val="en-US"/>
        </w:rPr>
        <w:t>in vitro</w:t>
      </w:r>
      <w:r w:rsidR="00D6414F" w:rsidRPr="002B40FC">
        <w:rPr>
          <w:rFonts w:ascii="Times New Roman" w:eastAsia="Arial" w:hAnsi="Times New Roman"/>
          <w:sz w:val="24"/>
          <w:szCs w:val="24"/>
          <w:shd w:val="clear" w:color="auto" w:fill="FFFFFF"/>
          <w:lang w:val="en-US"/>
        </w:rPr>
        <w:t xml:space="preserve"> seed germination of atroveran. </w:t>
      </w:r>
      <w:r w:rsidR="00D6414F" w:rsidRPr="002B40FC">
        <w:rPr>
          <w:rFonts w:ascii="Times New Roman" w:eastAsia="Arial" w:hAnsi="Times New Roman"/>
          <w:b/>
          <w:sz w:val="24"/>
          <w:szCs w:val="24"/>
          <w:shd w:val="clear" w:color="auto" w:fill="FFFFFF"/>
        </w:rPr>
        <w:t>Revista Ceres</w:t>
      </w:r>
      <w:r w:rsidR="00D6414F" w:rsidRPr="002B40FC">
        <w:rPr>
          <w:rFonts w:ascii="Times New Roman" w:eastAsia="Arial" w:hAnsi="Times New Roman"/>
          <w:sz w:val="24"/>
          <w:szCs w:val="24"/>
          <w:shd w:val="clear" w:color="auto" w:fill="FFFFFF"/>
        </w:rPr>
        <w:t>, Viçosa, v. 62, n. 2, p. 215-223, 2015.</w:t>
      </w:r>
    </w:p>
    <w:p w:rsidR="00D6414F" w:rsidRPr="002B40FC"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MOREIRA, B. M. </w:t>
      </w:r>
      <w:r w:rsidR="008E26FB">
        <w:rPr>
          <w:rFonts w:ascii="Times New Roman" w:eastAsia="Arial" w:hAnsi="Times New Roman"/>
          <w:sz w:val="24"/>
          <w:szCs w:val="24"/>
        </w:rPr>
        <w:t>T.; TOMBA, E. C.; ZONETTI, P.</w:t>
      </w:r>
      <w:r w:rsidRPr="002B40FC">
        <w:rPr>
          <w:rFonts w:ascii="Times New Roman" w:eastAsia="Arial" w:hAnsi="Times New Roman"/>
          <w:sz w:val="24"/>
          <w:szCs w:val="24"/>
        </w:rPr>
        <w:t xml:space="preserve"> C. Crescimento </w:t>
      </w:r>
      <w:r w:rsidRPr="002B40FC">
        <w:rPr>
          <w:rFonts w:ascii="Times New Roman" w:eastAsia="Arial" w:hAnsi="Times New Roman"/>
          <w:i/>
          <w:sz w:val="24"/>
          <w:szCs w:val="24"/>
        </w:rPr>
        <w:t>in vitro</w:t>
      </w:r>
      <w:r w:rsidRPr="002B40FC">
        <w:rPr>
          <w:rFonts w:ascii="Times New Roman" w:eastAsia="Arial" w:hAnsi="Times New Roman"/>
          <w:sz w:val="24"/>
          <w:szCs w:val="24"/>
        </w:rPr>
        <w:t xml:space="preserve"> de plântulas de orquídea (</w:t>
      </w:r>
      <w:r w:rsidRPr="002B40FC">
        <w:rPr>
          <w:rFonts w:ascii="Times New Roman" w:eastAsia="Arial" w:hAnsi="Times New Roman"/>
          <w:i/>
          <w:sz w:val="24"/>
          <w:szCs w:val="24"/>
        </w:rPr>
        <w:t xml:space="preserve">Laelia purpu rata </w:t>
      </w:r>
      <w:r w:rsidRPr="002B40FC">
        <w:rPr>
          <w:rFonts w:ascii="Times New Roman" w:eastAsia="Arial" w:hAnsi="Times New Roman"/>
          <w:sz w:val="24"/>
          <w:szCs w:val="24"/>
        </w:rPr>
        <w:t xml:space="preserve">Lindl var venosa X </w:t>
      </w:r>
      <w:r w:rsidRPr="002B40FC">
        <w:rPr>
          <w:rFonts w:ascii="Times New Roman" w:eastAsia="Arial" w:hAnsi="Times New Roman"/>
          <w:i/>
          <w:sz w:val="24"/>
          <w:szCs w:val="24"/>
        </w:rPr>
        <w:t>Cattleya warneri</w:t>
      </w:r>
      <w:r w:rsidRPr="002B40FC">
        <w:rPr>
          <w:rFonts w:ascii="Times New Roman" w:eastAsia="Arial" w:hAnsi="Times New Roman"/>
          <w:sz w:val="24"/>
          <w:szCs w:val="24"/>
        </w:rPr>
        <w:t xml:space="preserve"> T. Moore alba) sob diferentes </w:t>
      </w:r>
      <w:r w:rsidRPr="002B40FC">
        <w:rPr>
          <w:rFonts w:ascii="Times New Roman" w:eastAsia="Arial" w:hAnsi="Times New Roman"/>
          <w:sz w:val="24"/>
          <w:szCs w:val="24"/>
        </w:rPr>
        <w:lastRenderedPageBreak/>
        <w:t xml:space="preserve">concentrações de sacarose e frutose. </w:t>
      </w:r>
      <w:r w:rsidRPr="002B40FC">
        <w:rPr>
          <w:rFonts w:ascii="Times New Roman" w:eastAsia="Arial" w:hAnsi="Times New Roman"/>
          <w:b/>
          <w:sz w:val="24"/>
          <w:szCs w:val="24"/>
        </w:rPr>
        <w:t>Revista de Saúde e Biologia</w:t>
      </w:r>
      <w:r w:rsidRPr="002B40FC">
        <w:rPr>
          <w:rFonts w:ascii="Times New Roman" w:eastAsia="Arial" w:hAnsi="Times New Roman"/>
          <w:sz w:val="24"/>
          <w:szCs w:val="24"/>
        </w:rPr>
        <w:t>, Campo Mourão, v.</w:t>
      </w:r>
      <w:r w:rsidR="00215E84" w:rsidRPr="002B40FC">
        <w:rPr>
          <w:rFonts w:ascii="Times New Roman" w:eastAsia="Arial" w:hAnsi="Times New Roman"/>
          <w:sz w:val="24"/>
          <w:szCs w:val="24"/>
        </w:rPr>
        <w:t xml:space="preserve"> </w:t>
      </w:r>
      <w:r w:rsidRPr="002B40FC">
        <w:rPr>
          <w:rFonts w:ascii="Times New Roman" w:eastAsia="Arial" w:hAnsi="Times New Roman"/>
          <w:sz w:val="24"/>
          <w:szCs w:val="24"/>
        </w:rPr>
        <w:t>2, n.</w:t>
      </w:r>
      <w:r w:rsidR="008E26FB">
        <w:rPr>
          <w:rFonts w:ascii="Times New Roman" w:eastAsia="Arial" w:hAnsi="Times New Roman"/>
          <w:sz w:val="24"/>
          <w:szCs w:val="24"/>
        </w:rPr>
        <w:t xml:space="preserve"> </w:t>
      </w:r>
      <w:r w:rsidRPr="002B40FC">
        <w:rPr>
          <w:rFonts w:ascii="Times New Roman" w:eastAsia="Arial" w:hAnsi="Times New Roman"/>
          <w:sz w:val="24"/>
          <w:szCs w:val="24"/>
        </w:rPr>
        <w:t>2, p.</w:t>
      </w:r>
      <w:r w:rsidR="008E26FB">
        <w:rPr>
          <w:rFonts w:ascii="Times New Roman" w:eastAsia="Arial" w:hAnsi="Times New Roman"/>
          <w:sz w:val="24"/>
          <w:szCs w:val="24"/>
        </w:rPr>
        <w:t xml:space="preserve"> </w:t>
      </w:r>
      <w:r w:rsidRPr="002B40FC">
        <w:rPr>
          <w:rFonts w:ascii="Times New Roman" w:eastAsia="Arial" w:hAnsi="Times New Roman"/>
          <w:sz w:val="24"/>
          <w:szCs w:val="24"/>
        </w:rPr>
        <w:t xml:space="preserve">16-21, 2007. </w:t>
      </w:r>
    </w:p>
    <w:p w:rsidR="00D6414F" w:rsidRPr="002B40FC"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lang w:val="en-US"/>
        </w:rPr>
        <w:t>MURASHIGE, T.;</w:t>
      </w:r>
      <w:r w:rsidR="008E26FB">
        <w:rPr>
          <w:rFonts w:ascii="Times New Roman" w:eastAsia="Arial" w:hAnsi="Times New Roman"/>
          <w:sz w:val="24"/>
          <w:szCs w:val="24"/>
          <w:lang w:val="en-US"/>
        </w:rPr>
        <w:t xml:space="preserve"> SKOOG, F. A. A Revised Medium for Rapid Growth a</w:t>
      </w:r>
      <w:r w:rsidRPr="002B40FC">
        <w:rPr>
          <w:rFonts w:ascii="Times New Roman" w:eastAsia="Arial" w:hAnsi="Times New Roman"/>
          <w:sz w:val="24"/>
          <w:szCs w:val="24"/>
          <w:lang w:val="en-US"/>
        </w:rPr>
        <w:t xml:space="preserve">nd Bioassays With Tobacco Tissue Cultures. </w:t>
      </w:r>
      <w:r w:rsidRPr="002B40FC">
        <w:rPr>
          <w:rFonts w:ascii="Times New Roman" w:eastAsia="Arial" w:hAnsi="Times New Roman"/>
          <w:b/>
          <w:sz w:val="24"/>
          <w:szCs w:val="24"/>
        </w:rPr>
        <w:t>Physiologia Plantarum</w:t>
      </w:r>
      <w:r w:rsidRPr="002B40FC">
        <w:rPr>
          <w:rFonts w:ascii="Times New Roman" w:eastAsia="Arial" w:hAnsi="Times New Roman"/>
          <w:sz w:val="24"/>
          <w:szCs w:val="24"/>
        </w:rPr>
        <w:t>, Copenhagen, v.</w:t>
      </w:r>
      <w:r w:rsidR="00215E84" w:rsidRPr="002B40FC">
        <w:rPr>
          <w:rFonts w:ascii="Times New Roman" w:eastAsia="Arial" w:hAnsi="Times New Roman"/>
          <w:sz w:val="24"/>
          <w:szCs w:val="24"/>
        </w:rPr>
        <w:t xml:space="preserve"> </w:t>
      </w:r>
      <w:r w:rsidRPr="002B40FC">
        <w:rPr>
          <w:rFonts w:ascii="Times New Roman" w:eastAsia="Arial" w:hAnsi="Times New Roman"/>
          <w:sz w:val="24"/>
          <w:szCs w:val="24"/>
        </w:rPr>
        <w:t>15, n.3, p.473-497, 1962.</w:t>
      </w:r>
    </w:p>
    <w:p w:rsidR="00D6414F" w:rsidRPr="002B40FC" w:rsidRDefault="00D6414F" w:rsidP="00460133">
      <w:pPr>
        <w:spacing w:line="360" w:lineRule="auto"/>
        <w:jc w:val="both"/>
        <w:rPr>
          <w:rFonts w:ascii="Times New Roman" w:eastAsia="Arial" w:hAnsi="Times New Roman"/>
          <w:sz w:val="24"/>
          <w:szCs w:val="24"/>
        </w:rPr>
      </w:pPr>
      <w:r w:rsidRPr="002B40FC">
        <w:rPr>
          <w:rFonts w:ascii="Times New Roman" w:hAnsi="Times New Roman"/>
          <w:sz w:val="24"/>
          <w:szCs w:val="24"/>
        </w:rPr>
        <w:t xml:space="preserve">PEREIRA, A. R.; PASQUAL, M.; CHAGAS, E. A.; FRÁGUAS, C. B.; DUTRA, L. F. Indução de embriões somáticos globulares e cordiformes de cafeeiro por BAP e sacarose. </w:t>
      </w:r>
      <w:r w:rsidRPr="002B40FC">
        <w:rPr>
          <w:rFonts w:ascii="Times New Roman" w:hAnsi="Times New Roman"/>
          <w:b/>
          <w:sz w:val="24"/>
          <w:szCs w:val="24"/>
        </w:rPr>
        <w:t xml:space="preserve">Scientia Agraria, </w:t>
      </w:r>
      <w:r w:rsidRPr="002B40FC">
        <w:rPr>
          <w:rFonts w:ascii="Times New Roman" w:hAnsi="Times New Roman"/>
          <w:sz w:val="24"/>
          <w:szCs w:val="24"/>
        </w:rPr>
        <w:t>Curitiba,</w:t>
      </w:r>
      <w:r w:rsidRPr="002B40FC">
        <w:rPr>
          <w:rFonts w:ascii="Times New Roman" w:hAnsi="Times New Roman"/>
          <w:b/>
          <w:sz w:val="24"/>
          <w:szCs w:val="24"/>
        </w:rPr>
        <w:t xml:space="preserve"> </w:t>
      </w:r>
      <w:r w:rsidRPr="002B40FC">
        <w:rPr>
          <w:rFonts w:ascii="Times New Roman" w:hAnsi="Times New Roman"/>
          <w:sz w:val="24"/>
          <w:szCs w:val="24"/>
        </w:rPr>
        <w:t>v. 4, n. 1-2, p. 77-80, 2003.</w:t>
      </w:r>
    </w:p>
    <w:p w:rsidR="00D6414F" w:rsidRPr="002B40FC"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PEREIRA, L. A.; PINTO SOBRINHO, F. A.; COSTA NETO, S. V. Florística e estrutura de uma mata de terra firme na reserva de desenvolvimento sustentável Rio Iratapuru, Amapá, Amazônia Oriental, Brasil. </w:t>
      </w:r>
      <w:r w:rsidRPr="002B40FC">
        <w:rPr>
          <w:rFonts w:ascii="Times New Roman" w:eastAsia="Arial" w:hAnsi="Times New Roman"/>
          <w:b/>
          <w:sz w:val="24"/>
          <w:szCs w:val="24"/>
        </w:rPr>
        <w:t>Revista Floresta</w:t>
      </w:r>
      <w:r w:rsidRPr="002B40FC">
        <w:rPr>
          <w:rFonts w:ascii="Times New Roman" w:eastAsia="Arial" w:hAnsi="Times New Roman"/>
          <w:sz w:val="24"/>
          <w:szCs w:val="24"/>
        </w:rPr>
        <w:t>, Curitiba, v. 41, n. 1, p. 113-122, 2011.</w:t>
      </w:r>
    </w:p>
    <w:p w:rsidR="00D6414F" w:rsidRPr="00653AB9" w:rsidRDefault="00D6414F" w:rsidP="00460133">
      <w:pPr>
        <w:spacing w:line="360" w:lineRule="auto"/>
        <w:jc w:val="both"/>
        <w:rPr>
          <w:rFonts w:ascii="Times New Roman" w:hAnsi="Times New Roman"/>
          <w:sz w:val="24"/>
          <w:szCs w:val="24"/>
        </w:rPr>
      </w:pPr>
      <w:r w:rsidRPr="002B40FC">
        <w:rPr>
          <w:rFonts w:ascii="Times New Roman" w:hAnsi="Times New Roman"/>
          <w:sz w:val="24"/>
          <w:szCs w:val="24"/>
        </w:rPr>
        <w:t xml:space="preserve">PILATTI, F. K. </w:t>
      </w:r>
      <w:r w:rsidRPr="002B40FC">
        <w:rPr>
          <w:rFonts w:ascii="Times New Roman" w:hAnsi="Times New Roman"/>
          <w:b/>
          <w:sz w:val="24"/>
          <w:szCs w:val="24"/>
        </w:rPr>
        <w:t xml:space="preserve">Crescimento, perfil metabólico e citoquímica de calos de </w:t>
      </w:r>
      <w:r w:rsidR="00A413D5" w:rsidRPr="002B40FC">
        <w:rPr>
          <w:rFonts w:ascii="Times New Roman" w:hAnsi="Times New Roman"/>
          <w:b/>
          <w:i/>
          <w:sz w:val="24"/>
          <w:szCs w:val="24"/>
        </w:rPr>
        <w:t xml:space="preserve">Cedrela </w:t>
      </w:r>
      <w:r w:rsidRPr="002B40FC">
        <w:rPr>
          <w:rFonts w:ascii="Times New Roman" w:hAnsi="Times New Roman"/>
          <w:b/>
          <w:i/>
          <w:sz w:val="24"/>
          <w:szCs w:val="24"/>
        </w:rPr>
        <w:t>fissilis</w:t>
      </w:r>
      <w:r w:rsidR="00A413D5" w:rsidRPr="002B40FC">
        <w:rPr>
          <w:rFonts w:ascii="Times New Roman" w:hAnsi="Times New Roman"/>
          <w:b/>
          <w:sz w:val="24"/>
          <w:szCs w:val="24"/>
        </w:rPr>
        <w:t xml:space="preserve"> </w:t>
      </w:r>
      <w:r w:rsidRPr="002B40FC">
        <w:rPr>
          <w:rFonts w:ascii="Times New Roman" w:hAnsi="Times New Roman"/>
          <w:b/>
          <w:sz w:val="24"/>
          <w:szCs w:val="24"/>
        </w:rPr>
        <w:t>vellozo (Meliaceae)</w:t>
      </w:r>
      <w:r w:rsidRPr="002B40FC">
        <w:rPr>
          <w:rFonts w:ascii="Times New Roman" w:hAnsi="Times New Roman"/>
          <w:sz w:val="24"/>
          <w:szCs w:val="24"/>
        </w:rPr>
        <w:t>.  2011. 116f. Dissertação (Mestrado em Biotecnologia e Biociências) - Universidade Federal de Santa Catarina. Florianópolis, 2011.</w:t>
      </w:r>
    </w:p>
    <w:p w:rsidR="00FD2A74" w:rsidRPr="002B40FC" w:rsidRDefault="00D6414F" w:rsidP="00460133">
      <w:pPr>
        <w:spacing w:line="360" w:lineRule="auto"/>
        <w:jc w:val="both"/>
        <w:rPr>
          <w:rFonts w:ascii="Times New Roman" w:hAnsi="Times New Roman"/>
          <w:sz w:val="24"/>
          <w:szCs w:val="24"/>
        </w:rPr>
      </w:pPr>
      <w:r w:rsidRPr="002B40FC">
        <w:rPr>
          <w:rFonts w:ascii="Times New Roman" w:eastAsia="Arial" w:hAnsi="Times New Roman"/>
          <w:sz w:val="24"/>
          <w:szCs w:val="24"/>
        </w:rPr>
        <w:t xml:space="preserve">PINTO, A. M. </w:t>
      </w:r>
      <w:r w:rsidRPr="002B40FC">
        <w:rPr>
          <w:rFonts w:ascii="Times New Roman" w:hAnsi="Times New Roman"/>
          <w:b/>
          <w:sz w:val="24"/>
          <w:szCs w:val="24"/>
        </w:rPr>
        <w:t xml:space="preserve">Conservação e vigor de sementes de pau-de-balsa </w:t>
      </w:r>
      <w:r w:rsidRPr="002B40FC">
        <w:rPr>
          <w:rFonts w:ascii="Times New Roman" w:hAnsi="Times New Roman"/>
          <w:b/>
          <w:i/>
          <w:sz w:val="24"/>
          <w:szCs w:val="24"/>
        </w:rPr>
        <w:t>Ochroma pyramidale</w:t>
      </w:r>
      <w:r w:rsidRPr="002B40FC">
        <w:rPr>
          <w:rFonts w:ascii="Times New Roman" w:hAnsi="Times New Roman"/>
          <w:b/>
          <w:sz w:val="24"/>
          <w:szCs w:val="24"/>
        </w:rPr>
        <w:t xml:space="preserve"> (Cav. ex Lam.) Urban.</w:t>
      </w:r>
      <w:r w:rsidRPr="002B40FC">
        <w:rPr>
          <w:rFonts w:ascii="Times New Roman" w:hAnsi="Times New Roman"/>
          <w:sz w:val="24"/>
          <w:szCs w:val="24"/>
        </w:rPr>
        <w:t xml:space="preserve"> 1998. 71f. Dissertação (Mestrado em Engenharia Florestal) - Universidade Federal do Paraná. Curitiba, 1998.</w:t>
      </w:r>
    </w:p>
    <w:p w:rsidR="00653AB9" w:rsidRPr="002B40FC" w:rsidRDefault="00653AB9"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shd w:val="clear" w:color="auto" w:fill="FFFFFF"/>
        </w:rPr>
        <w:t xml:space="preserve">REIS, C. A. F.; FILHO, E. P. Estado da arte de plantios com espécies florestais de interesse para o Mato Grosso. Colombo, PR: </w:t>
      </w:r>
      <w:r w:rsidRPr="002B40FC">
        <w:rPr>
          <w:rFonts w:ascii="Times New Roman" w:eastAsia="Arial" w:hAnsi="Times New Roman"/>
          <w:b/>
          <w:sz w:val="24"/>
          <w:szCs w:val="24"/>
          <w:shd w:val="clear" w:color="auto" w:fill="FFFFFF"/>
        </w:rPr>
        <w:t>Embrapa Florestas</w:t>
      </w:r>
      <w:r w:rsidRPr="002B40FC">
        <w:rPr>
          <w:rFonts w:ascii="Times New Roman" w:eastAsia="Arial" w:hAnsi="Times New Roman"/>
          <w:sz w:val="24"/>
          <w:szCs w:val="24"/>
          <w:shd w:val="clear" w:color="auto" w:fill="FFFFFF"/>
        </w:rPr>
        <w:t>. v. 0, n.</w:t>
      </w:r>
      <w:r w:rsidR="008E26FB">
        <w:rPr>
          <w:rFonts w:ascii="Times New Roman" w:eastAsia="Arial" w:hAnsi="Times New Roman"/>
          <w:sz w:val="24"/>
          <w:szCs w:val="24"/>
          <w:shd w:val="clear" w:color="auto" w:fill="FFFFFF"/>
        </w:rPr>
        <w:t xml:space="preserve"> </w:t>
      </w:r>
      <w:r w:rsidRPr="002B40FC">
        <w:rPr>
          <w:rFonts w:ascii="Times New Roman" w:eastAsia="Arial" w:hAnsi="Times New Roman"/>
          <w:sz w:val="24"/>
          <w:szCs w:val="24"/>
          <w:shd w:val="clear" w:color="auto" w:fill="FFFFFF"/>
        </w:rPr>
        <w:t>1, 39-45 p. 2011</w:t>
      </w:r>
    </w:p>
    <w:p w:rsidR="00653AB9" w:rsidRPr="00653AB9" w:rsidRDefault="00653AB9"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REIS, E, S.; PINTO, J. E. B.; ROSADO, L. D. S.; CORRÊA, R. M. Influência do meio de cultura na germinação de sementes </w:t>
      </w:r>
      <w:r w:rsidRPr="002B40FC">
        <w:rPr>
          <w:rFonts w:ascii="Times New Roman" w:eastAsia="Arial" w:hAnsi="Times New Roman"/>
          <w:i/>
          <w:sz w:val="24"/>
          <w:szCs w:val="24"/>
        </w:rPr>
        <w:t>in vitro</w:t>
      </w:r>
      <w:r w:rsidRPr="002B40FC">
        <w:rPr>
          <w:rFonts w:ascii="Times New Roman" w:eastAsia="Arial" w:hAnsi="Times New Roman"/>
          <w:sz w:val="24"/>
          <w:szCs w:val="24"/>
        </w:rPr>
        <w:t xml:space="preserve"> e taxa de multiplicação de </w:t>
      </w:r>
      <w:r w:rsidRPr="002B40FC">
        <w:rPr>
          <w:rFonts w:ascii="Times New Roman" w:eastAsia="Arial" w:hAnsi="Times New Roman"/>
          <w:i/>
          <w:sz w:val="24"/>
          <w:szCs w:val="24"/>
        </w:rPr>
        <w:t>Melissa officinalis</w:t>
      </w:r>
      <w:r w:rsidRPr="002B40FC">
        <w:rPr>
          <w:rFonts w:ascii="Times New Roman" w:eastAsia="Arial" w:hAnsi="Times New Roman"/>
          <w:sz w:val="24"/>
          <w:szCs w:val="24"/>
        </w:rPr>
        <w:t xml:space="preserve"> L. </w:t>
      </w:r>
      <w:r w:rsidRPr="002B40FC">
        <w:rPr>
          <w:rFonts w:ascii="Times New Roman" w:eastAsia="Arial" w:hAnsi="Times New Roman"/>
          <w:b/>
          <w:sz w:val="24"/>
          <w:szCs w:val="24"/>
        </w:rPr>
        <w:t>Ceres</w:t>
      </w:r>
      <w:r w:rsidRPr="002B40FC">
        <w:rPr>
          <w:rFonts w:ascii="Times New Roman" w:eastAsia="Arial" w:hAnsi="Times New Roman"/>
          <w:sz w:val="24"/>
          <w:szCs w:val="24"/>
        </w:rPr>
        <w:t>, V</w:t>
      </w:r>
      <w:r w:rsidR="008E26FB">
        <w:rPr>
          <w:rFonts w:ascii="Times New Roman" w:eastAsia="Arial" w:hAnsi="Times New Roman"/>
          <w:sz w:val="24"/>
          <w:szCs w:val="24"/>
        </w:rPr>
        <w:t xml:space="preserve">içosa, v. 55, n. 3, p. 160-167, </w:t>
      </w:r>
      <w:r w:rsidRPr="002B40FC">
        <w:rPr>
          <w:rFonts w:ascii="Times New Roman" w:eastAsia="Arial" w:hAnsi="Times New Roman"/>
          <w:sz w:val="24"/>
          <w:szCs w:val="24"/>
        </w:rPr>
        <w:t xml:space="preserve">2015. </w:t>
      </w:r>
    </w:p>
    <w:p w:rsidR="00653AB9" w:rsidRPr="002B40FC" w:rsidRDefault="00653AB9"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shd w:val="clear" w:color="auto" w:fill="FFFFFF"/>
        </w:rPr>
        <w:t xml:space="preserve">RIBEIRO, J. M.; TEIXEIRA, S. L.; BASTOS, D. C. Calogênese em explantes de </w:t>
      </w:r>
      <w:r w:rsidRPr="002B40FC">
        <w:rPr>
          <w:rFonts w:ascii="Times New Roman" w:eastAsia="Arial" w:hAnsi="Times New Roman"/>
          <w:i/>
          <w:sz w:val="24"/>
          <w:szCs w:val="24"/>
          <w:shd w:val="clear" w:color="auto" w:fill="FFFFFF"/>
        </w:rPr>
        <w:t>Pfaffia glomerata</w:t>
      </w:r>
      <w:r w:rsidRPr="002B40FC">
        <w:rPr>
          <w:rFonts w:ascii="Times New Roman" w:eastAsia="Arial" w:hAnsi="Times New Roman"/>
          <w:sz w:val="24"/>
          <w:szCs w:val="24"/>
          <w:shd w:val="clear" w:color="auto" w:fill="FFFFFF"/>
        </w:rPr>
        <w:t xml:space="preserve"> (Spreng.) Pedersen cultivados em meio nutritivo esterilizado com hipoclorito de sódio. </w:t>
      </w:r>
      <w:r w:rsidRPr="002B40FC">
        <w:rPr>
          <w:rFonts w:ascii="Times New Roman" w:eastAsia="Arial" w:hAnsi="Times New Roman"/>
          <w:b/>
          <w:sz w:val="24"/>
          <w:szCs w:val="24"/>
          <w:shd w:val="clear" w:color="auto" w:fill="FFFFFF"/>
        </w:rPr>
        <w:t>Ceres</w:t>
      </w:r>
      <w:r w:rsidRPr="002B40FC">
        <w:rPr>
          <w:rFonts w:ascii="Times New Roman" w:eastAsia="Arial" w:hAnsi="Times New Roman"/>
          <w:sz w:val="24"/>
          <w:szCs w:val="24"/>
          <w:shd w:val="clear" w:color="auto" w:fill="FFFFFF"/>
        </w:rPr>
        <w:t>, Viçosa, v. 56, n. 5, p. 537-541, 2015.</w:t>
      </w:r>
    </w:p>
    <w:p w:rsidR="00D6414F" w:rsidRPr="002B40FC" w:rsidRDefault="00FD2A74"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t xml:space="preserve">RIZZINI, C. T. </w:t>
      </w:r>
      <w:r w:rsidRPr="00653AB9">
        <w:rPr>
          <w:rFonts w:ascii="Times New Roman" w:eastAsia="Arial" w:hAnsi="Times New Roman"/>
          <w:b/>
          <w:sz w:val="24"/>
          <w:szCs w:val="24"/>
        </w:rPr>
        <w:t>Árvores e madeiras úteis do Brasil, manual de dendrologia brasileira</w:t>
      </w:r>
      <w:r w:rsidRPr="002B40FC">
        <w:rPr>
          <w:rFonts w:ascii="Times New Roman" w:eastAsia="Arial" w:hAnsi="Times New Roman"/>
          <w:sz w:val="24"/>
          <w:szCs w:val="24"/>
        </w:rPr>
        <w:t xml:space="preserve">. São Paulo, </w:t>
      </w:r>
      <w:r w:rsidR="00653AB9">
        <w:rPr>
          <w:rFonts w:ascii="Times New Roman" w:eastAsia="Arial" w:hAnsi="Times New Roman"/>
          <w:sz w:val="24"/>
          <w:szCs w:val="24"/>
        </w:rPr>
        <w:t xml:space="preserve">Editora </w:t>
      </w:r>
      <w:r w:rsidRPr="002B40FC">
        <w:rPr>
          <w:rFonts w:ascii="Times New Roman" w:eastAsia="Arial" w:hAnsi="Times New Roman"/>
          <w:sz w:val="24"/>
          <w:szCs w:val="24"/>
        </w:rPr>
        <w:t>Blücher. 1978. 296p.</w:t>
      </w:r>
    </w:p>
    <w:p w:rsidR="00D6414F" w:rsidRPr="00653AB9" w:rsidRDefault="00D6414F"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rPr>
        <w:t xml:space="preserve">RODRIGUES, I. C. S. </w:t>
      </w:r>
      <w:r w:rsidRPr="002B40FC">
        <w:rPr>
          <w:rFonts w:ascii="Times New Roman" w:eastAsia="Arial" w:hAnsi="Times New Roman"/>
          <w:b/>
          <w:sz w:val="24"/>
          <w:szCs w:val="24"/>
        </w:rPr>
        <w:t xml:space="preserve">Micropropagação, Tolerância à Salinidade e Análise de Betacianina em Plantas de </w:t>
      </w:r>
      <w:r w:rsidRPr="002B40FC">
        <w:rPr>
          <w:rFonts w:ascii="Times New Roman" w:eastAsia="Arial" w:hAnsi="Times New Roman"/>
          <w:b/>
          <w:i/>
          <w:sz w:val="24"/>
          <w:szCs w:val="24"/>
        </w:rPr>
        <w:t>Alternanthera Brasiliana</w:t>
      </w:r>
      <w:r w:rsidRPr="002B40FC">
        <w:rPr>
          <w:rFonts w:ascii="Times New Roman" w:eastAsia="Arial" w:hAnsi="Times New Roman"/>
          <w:b/>
          <w:sz w:val="24"/>
          <w:szCs w:val="24"/>
        </w:rPr>
        <w:t xml:space="preserve"> (l.) Kuntze, Cultivadas </w:t>
      </w:r>
      <w:r w:rsidRPr="002B40FC">
        <w:rPr>
          <w:rFonts w:ascii="Times New Roman" w:eastAsia="Arial" w:hAnsi="Times New Roman"/>
          <w:b/>
          <w:i/>
          <w:sz w:val="24"/>
          <w:szCs w:val="24"/>
        </w:rPr>
        <w:t>in vitro</w:t>
      </w:r>
      <w:r w:rsidRPr="002B40FC">
        <w:rPr>
          <w:rFonts w:ascii="Times New Roman" w:eastAsia="Arial" w:hAnsi="Times New Roman"/>
          <w:sz w:val="24"/>
          <w:szCs w:val="24"/>
        </w:rPr>
        <w:t>. 2010 45f. Monografia (</w:t>
      </w:r>
      <w:r w:rsidRPr="002B40FC">
        <w:rPr>
          <w:rFonts w:ascii="Times New Roman" w:hAnsi="Times New Roman"/>
          <w:sz w:val="24"/>
          <w:szCs w:val="24"/>
        </w:rPr>
        <w:t xml:space="preserve">Graduação em Ciências Biológicas), </w:t>
      </w:r>
      <w:r w:rsidRPr="002B40FC">
        <w:rPr>
          <w:rFonts w:ascii="Times New Roman" w:eastAsia="Arial" w:hAnsi="Times New Roman"/>
          <w:sz w:val="24"/>
          <w:szCs w:val="24"/>
        </w:rPr>
        <w:t>Universidade Federal de Pelotas, Pelotas, 2010.</w:t>
      </w:r>
    </w:p>
    <w:p w:rsidR="00D6414F" w:rsidRPr="00653AB9" w:rsidRDefault="00D6414F" w:rsidP="00460133">
      <w:pPr>
        <w:spacing w:line="360" w:lineRule="auto"/>
        <w:jc w:val="both"/>
        <w:rPr>
          <w:rFonts w:ascii="Times New Roman" w:eastAsia="Arial" w:hAnsi="Times New Roman"/>
          <w:sz w:val="24"/>
          <w:szCs w:val="24"/>
        </w:rPr>
      </w:pPr>
      <w:r w:rsidRPr="002B40FC">
        <w:rPr>
          <w:rFonts w:ascii="Times New Roman" w:eastAsia="Arial" w:hAnsi="Times New Roman"/>
          <w:sz w:val="24"/>
          <w:szCs w:val="24"/>
        </w:rPr>
        <w:lastRenderedPageBreak/>
        <w:t xml:space="preserve">SABOGAL, C.; ALMEIDA, E.; MARMILLOD, D.; CARVALHO, J. O. P. </w:t>
      </w:r>
      <w:r w:rsidRPr="002B40FC">
        <w:rPr>
          <w:rFonts w:ascii="Times New Roman" w:eastAsia="Arial" w:hAnsi="Times New Roman"/>
          <w:b/>
          <w:sz w:val="24"/>
          <w:szCs w:val="24"/>
        </w:rPr>
        <w:t>Silvicultura na Amazônia Brasileira: Avaliação de experiências e recomendações para implementação e melhoria dos sistemas.</w:t>
      </w:r>
      <w:r w:rsidRPr="002B40FC">
        <w:rPr>
          <w:rFonts w:ascii="Times New Roman" w:eastAsia="Arial" w:hAnsi="Times New Roman"/>
          <w:sz w:val="24"/>
          <w:szCs w:val="24"/>
        </w:rPr>
        <w:t xml:space="preserve"> Belém: CIFOR, 2006. 192 p.</w:t>
      </w:r>
    </w:p>
    <w:p w:rsidR="00D6414F" w:rsidRPr="00653AB9" w:rsidRDefault="00D6414F" w:rsidP="00460133">
      <w:pPr>
        <w:spacing w:line="360" w:lineRule="auto"/>
        <w:jc w:val="both"/>
        <w:rPr>
          <w:rFonts w:ascii="Times New Roman" w:eastAsia="Arial" w:hAnsi="Times New Roman"/>
          <w:sz w:val="24"/>
          <w:szCs w:val="24"/>
          <w:shd w:val="clear" w:color="auto" w:fill="FFFFFF"/>
        </w:rPr>
      </w:pPr>
      <w:r w:rsidRPr="002B40FC">
        <w:rPr>
          <w:rFonts w:ascii="Times New Roman" w:eastAsia="Arial" w:hAnsi="Times New Roman"/>
          <w:sz w:val="24"/>
          <w:szCs w:val="24"/>
          <w:shd w:val="clear" w:color="auto" w:fill="FFFFFF"/>
        </w:rPr>
        <w:t>SANTOS, U. F.; XIMENES, F. S.; LUZ, P. B.; JÚNIOR, S. S.; SOBRINHO, S. P. Níveis de sombreamento na produção de mudas de pau-de-balsa (</w:t>
      </w:r>
      <w:r w:rsidRPr="002B40FC">
        <w:rPr>
          <w:rFonts w:ascii="Times New Roman" w:eastAsia="Arial" w:hAnsi="Times New Roman"/>
          <w:i/>
          <w:sz w:val="24"/>
          <w:szCs w:val="24"/>
          <w:shd w:val="clear" w:color="auto" w:fill="FFFFFF"/>
        </w:rPr>
        <w:t>Ochroma pyramidale</w:t>
      </w:r>
      <w:r w:rsidRPr="002B40FC">
        <w:rPr>
          <w:rFonts w:ascii="Times New Roman" w:eastAsia="Arial" w:hAnsi="Times New Roman"/>
          <w:sz w:val="24"/>
          <w:szCs w:val="24"/>
          <w:shd w:val="clear" w:color="auto" w:fill="FFFFFF"/>
        </w:rPr>
        <w:t xml:space="preserve">). </w:t>
      </w:r>
      <w:r w:rsidRPr="002B40FC">
        <w:rPr>
          <w:rFonts w:ascii="Times New Roman" w:eastAsia="Arial" w:hAnsi="Times New Roman"/>
          <w:b/>
          <w:sz w:val="24"/>
          <w:szCs w:val="24"/>
          <w:shd w:val="clear" w:color="auto" w:fill="FFFFFF"/>
        </w:rPr>
        <w:t>Bioscience Journal</w:t>
      </w:r>
      <w:r w:rsidRPr="002B40FC">
        <w:rPr>
          <w:rFonts w:ascii="Times New Roman" w:eastAsia="Arial" w:hAnsi="Times New Roman"/>
          <w:sz w:val="24"/>
          <w:szCs w:val="24"/>
          <w:shd w:val="clear" w:color="auto" w:fill="FFFFFF"/>
        </w:rPr>
        <w:t>, v. 30, n. 1, p. 129-136, 2014.</w:t>
      </w:r>
    </w:p>
    <w:p w:rsidR="00D6414F" w:rsidRPr="002B40FC" w:rsidRDefault="00D6414F" w:rsidP="00460133">
      <w:pPr>
        <w:spacing w:line="360" w:lineRule="auto"/>
        <w:jc w:val="both"/>
        <w:rPr>
          <w:rFonts w:ascii="Times New Roman" w:hAnsi="Times New Roman"/>
          <w:sz w:val="24"/>
          <w:szCs w:val="24"/>
        </w:rPr>
      </w:pPr>
      <w:r w:rsidRPr="002B40FC">
        <w:rPr>
          <w:rFonts w:ascii="Times New Roman" w:hAnsi="Times New Roman"/>
          <w:sz w:val="24"/>
          <w:szCs w:val="24"/>
        </w:rPr>
        <w:t>SILVA, F. A. S. ASSISTAT-Ass</w:t>
      </w:r>
      <w:r w:rsidR="00A413D5" w:rsidRPr="002B40FC">
        <w:rPr>
          <w:rFonts w:ascii="Times New Roman" w:hAnsi="Times New Roman"/>
          <w:sz w:val="24"/>
          <w:szCs w:val="24"/>
        </w:rPr>
        <w:t>istência Estatística-versão 7.7</w:t>
      </w:r>
      <w:r w:rsidRPr="002B40FC">
        <w:rPr>
          <w:rFonts w:ascii="Times New Roman" w:hAnsi="Times New Roman"/>
          <w:sz w:val="24"/>
          <w:szCs w:val="24"/>
        </w:rPr>
        <w:t xml:space="preserve">beta (pt). Programa computacional. </w:t>
      </w:r>
      <w:r w:rsidRPr="002B40FC">
        <w:rPr>
          <w:rFonts w:ascii="Times New Roman" w:hAnsi="Times New Roman"/>
          <w:b/>
          <w:sz w:val="24"/>
          <w:szCs w:val="24"/>
        </w:rPr>
        <w:t>Universidade Federal de Campina Grande Campus de Campina Grande-PB</w:t>
      </w:r>
      <w:r w:rsidRPr="002B40FC">
        <w:rPr>
          <w:rFonts w:ascii="Times New Roman" w:hAnsi="Times New Roman"/>
          <w:sz w:val="24"/>
          <w:szCs w:val="24"/>
        </w:rPr>
        <w:t>–DEAG/CTRN, 2014.</w:t>
      </w:r>
    </w:p>
    <w:p w:rsidR="00D6414F" w:rsidRPr="002B40FC" w:rsidRDefault="00D6414F" w:rsidP="00460133">
      <w:pPr>
        <w:spacing w:line="360" w:lineRule="auto"/>
        <w:jc w:val="both"/>
        <w:rPr>
          <w:rFonts w:ascii="Times New Roman" w:hAnsi="Times New Roman"/>
          <w:color w:val="000000"/>
          <w:sz w:val="24"/>
          <w:szCs w:val="24"/>
          <w:shd w:val="clear" w:color="auto" w:fill="EEEEEE"/>
        </w:rPr>
      </w:pPr>
      <w:r w:rsidRPr="002B40FC">
        <w:rPr>
          <w:rFonts w:ascii="Times New Roman" w:hAnsi="Times New Roman"/>
          <w:sz w:val="24"/>
          <w:szCs w:val="24"/>
        </w:rPr>
        <w:t xml:space="preserve">SILVEIRA, D. G.; SOUZA, F. V. D.; VIDAL, A. M.; LEDO, C. A. S.; SANTANA, J. R. F. Efeito da sacarose e da aeração dos recipientes no enraizamento </w:t>
      </w:r>
      <w:r w:rsidRPr="002B40FC">
        <w:rPr>
          <w:rFonts w:ascii="Times New Roman" w:hAnsi="Times New Roman"/>
          <w:i/>
          <w:sz w:val="24"/>
          <w:szCs w:val="24"/>
        </w:rPr>
        <w:t>in vitro</w:t>
      </w:r>
      <w:r w:rsidRPr="002B40FC">
        <w:rPr>
          <w:rFonts w:ascii="Times New Roman" w:hAnsi="Times New Roman"/>
          <w:sz w:val="24"/>
          <w:szCs w:val="24"/>
        </w:rPr>
        <w:t xml:space="preserve"> de Caroá. In: Embrapa Mandioca e Fruticultura-Artigo em anais de congresso (ALICE). In: CONGRESSO BRASILEIRO DE RECURSOS GENÉTICOS. </w:t>
      </w:r>
      <w:r w:rsidRPr="002B40FC">
        <w:rPr>
          <w:rFonts w:ascii="Times New Roman" w:hAnsi="Times New Roman"/>
          <w:b/>
          <w:sz w:val="24"/>
          <w:szCs w:val="24"/>
        </w:rPr>
        <w:t>Anais</w:t>
      </w:r>
      <w:r w:rsidRPr="002B40FC">
        <w:rPr>
          <w:rFonts w:ascii="Times New Roman" w:hAnsi="Times New Roman"/>
          <w:sz w:val="24"/>
          <w:szCs w:val="24"/>
        </w:rPr>
        <w:t>... Brasília, DF: Sociedade Brasileira de Rec</w:t>
      </w:r>
      <w:r w:rsidR="00142908" w:rsidRPr="002B40FC">
        <w:rPr>
          <w:rFonts w:ascii="Times New Roman" w:hAnsi="Times New Roman"/>
          <w:sz w:val="24"/>
          <w:szCs w:val="24"/>
        </w:rPr>
        <w:t>ursos Genéticos, 2012. 1 CD-ROM.</w:t>
      </w:r>
    </w:p>
    <w:p w:rsidR="006867C5" w:rsidRPr="00653AB9" w:rsidRDefault="00D6414F" w:rsidP="00460133">
      <w:pPr>
        <w:spacing w:line="360" w:lineRule="auto"/>
        <w:jc w:val="both"/>
        <w:rPr>
          <w:rFonts w:ascii="Times New Roman" w:hAnsi="Times New Roman"/>
          <w:sz w:val="24"/>
          <w:szCs w:val="24"/>
        </w:rPr>
      </w:pPr>
      <w:r w:rsidRPr="002B40FC">
        <w:rPr>
          <w:rFonts w:ascii="Times New Roman" w:hAnsi="Times New Roman"/>
          <w:sz w:val="24"/>
          <w:szCs w:val="24"/>
        </w:rPr>
        <w:t>SIMÕES, K. S.; LINO, L. S. M.; SOUZA, A. S.; SILVA, S. O.; LEDO, C. A. S. Enraizamento de inham</w:t>
      </w:r>
      <w:r w:rsidR="00A413D5" w:rsidRPr="002B40FC">
        <w:rPr>
          <w:rFonts w:ascii="Times New Roman" w:hAnsi="Times New Roman"/>
          <w:sz w:val="24"/>
          <w:szCs w:val="24"/>
        </w:rPr>
        <w:t xml:space="preserve">e em meios MS e carvão ativado. </w:t>
      </w:r>
      <w:r w:rsidRPr="002B40FC">
        <w:rPr>
          <w:rFonts w:ascii="Times New Roman" w:hAnsi="Times New Roman"/>
          <w:b/>
          <w:sz w:val="24"/>
          <w:szCs w:val="24"/>
        </w:rPr>
        <w:t>Científica</w:t>
      </w:r>
      <w:r w:rsidRPr="002B40FC">
        <w:rPr>
          <w:rFonts w:ascii="Times New Roman" w:hAnsi="Times New Roman"/>
          <w:sz w:val="24"/>
          <w:szCs w:val="24"/>
        </w:rPr>
        <w:t>, Jaboticabal, v. 42, n. 2, p. 164-169, 2014.</w:t>
      </w:r>
    </w:p>
    <w:p w:rsidR="00D6414F" w:rsidRPr="002B40FC" w:rsidRDefault="00D6414F" w:rsidP="00460133">
      <w:pPr>
        <w:spacing w:line="360" w:lineRule="auto"/>
        <w:jc w:val="both"/>
        <w:rPr>
          <w:rFonts w:ascii="Times New Roman" w:eastAsia="Arial" w:hAnsi="Times New Roman"/>
          <w:b/>
          <w:sz w:val="24"/>
          <w:szCs w:val="24"/>
          <w:vertAlign w:val="subscript"/>
        </w:rPr>
      </w:pPr>
      <w:r w:rsidRPr="002B40FC">
        <w:rPr>
          <w:rFonts w:ascii="Times New Roman" w:eastAsia="Arial" w:hAnsi="Times New Roman"/>
          <w:sz w:val="24"/>
          <w:szCs w:val="24"/>
          <w:shd w:val="clear" w:color="auto" w:fill="FFFFFF"/>
        </w:rPr>
        <w:t xml:space="preserve">SORACE, M.; FARIA, R. T.; JUNIOR, C. V. D.; GOMES, G. P. G.; BARBOSA, C. M.; VIEIRA, F. G. N.; SILVA, G. L. S. DA.; TAKAHASHI, L. S. A.; SCHNITZER, J. A. Crescimento </w:t>
      </w:r>
      <w:r w:rsidRPr="002B40FC">
        <w:rPr>
          <w:rFonts w:ascii="Times New Roman" w:eastAsia="Arial" w:hAnsi="Times New Roman"/>
          <w:i/>
          <w:sz w:val="24"/>
          <w:szCs w:val="24"/>
          <w:shd w:val="clear" w:color="auto" w:fill="FFFFFF"/>
        </w:rPr>
        <w:t>in vitro</w:t>
      </w:r>
      <w:r w:rsidRPr="002B40FC">
        <w:rPr>
          <w:rFonts w:ascii="Times New Roman" w:eastAsia="Arial" w:hAnsi="Times New Roman"/>
          <w:sz w:val="24"/>
          <w:szCs w:val="24"/>
          <w:shd w:val="clear" w:color="auto" w:fill="FFFFFF"/>
        </w:rPr>
        <w:t xml:space="preserve"> de </w:t>
      </w:r>
      <w:r w:rsidRPr="002B40FC">
        <w:rPr>
          <w:rFonts w:ascii="Times New Roman" w:eastAsia="Arial" w:hAnsi="Times New Roman"/>
          <w:i/>
          <w:sz w:val="24"/>
          <w:szCs w:val="24"/>
          <w:shd w:val="clear" w:color="auto" w:fill="FFFFFF"/>
        </w:rPr>
        <w:t>Oncidium baueri</w:t>
      </w:r>
      <w:r w:rsidRPr="002B40FC">
        <w:rPr>
          <w:rFonts w:ascii="Times New Roman" w:eastAsia="Arial" w:hAnsi="Times New Roman"/>
          <w:sz w:val="24"/>
          <w:szCs w:val="24"/>
          <w:shd w:val="clear" w:color="auto" w:fill="FFFFFF"/>
        </w:rPr>
        <w:t xml:space="preserve"> (Orchidaceae) em diferentes concentrações de macronutrientes e sacarose. </w:t>
      </w:r>
      <w:r w:rsidRPr="002B40FC">
        <w:rPr>
          <w:rFonts w:ascii="Times New Roman" w:eastAsia="Arial" w:hAnsi="Times New Roman"/>
          <w:b/>
          <w:sz w:val="24"/>
          <w:szCs w:val="24"/>
          <w:shd w:val="clear" w:color="auto" w:fill="FFFFFF"/>
        </w:rPr>
        <w:t>Semina: Ciências Agrárias</w:t>
      </w:r>
      <w:r w:rsidRPr="002B40FC">
        <w:rPr>
          <w:rFonts w:ascii="Times New Roman" w:eastAsia="Arial" w:hAnsi="Times New Roman"/>
          <w:sz w:val="24"/>
          <w:szCs w:val="24"/>
          <w:shd w:val="clear" w:color="auto" w:fill="FFFFFF"/>
        </w:rPr>
        <w:t>, Londrina</w:t>
      </w:r>
      <w:r w:rsidR="000B488D" w:rsidRPr="002B40FC">
        <w:rPr>
          <w:rFonts w:ascii="Times New Roman" w:eastAsia="Arial" w:hAnsi="Times New Roman"/>
          <w:sz w:val="24"/>
          <w:szCs w:val="24"/>
          <w:shd w:val="clear" w:color="auto" w:fill="FFFFFF"/>
        </w:rPr>
        <w:t>, v. 29, n. 4, p. 775-782, 2008.</w:t>
      </w:r>
    </w:p>
    <w:sectPr w:rsidR="00D6414F" w:rsidRPr="002B40FC" w:rsidSect="000B488D">
      <w:type w:val="continuous"/>
      <w:pgSz w:w="11906" w:h="16838"/>
      <w:pgMar w:top="1418" w:right="1418" w:bottom="1418" w:left="1418" w:header="708" w:footer="708" w:gutter="0"/>
      <w:lnNumType w:countBy="1" w:restart="continuous"/>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E95" w:rsidRDefault="00AD1E95" w:rsidP="00DC3105">
      <w:pPr>
        <w:spacing w:after="0" w:line="240" w:lineRule="auto"/>
      </w:pPr>
      <w:r>
        <w:separator/>
      </w:r>
    </w:p>
  </w:endnote>
  <w:endnote w:type="continuationSeparator" w:id="0">
    <w:p w:rsidR="00AD1E95" w:rsidRDefault="00AD1E95" w:rsidP="00DC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110368"/>
      <w:docPartObj>
        <w:docPartGallery w:val="Page Numbers (Bottom of Page)"/>
        <w:docPartUnique/>
      </w:docPartObj>
    </w:sdtPr>
    <w:sdtEndPr/>
    <w:sdtContent>
      <w:p w:rsidR="00F12F02" w:rsidRPr="00553746" w:rsidRDefault="00F12F02" w:rsidP="00553746">
        <w:pPr>
          <w:pStyle w:val="Rodap"/>
          <w:jc w:val="right"/>
        </w:pPr>
        <w:r w:rsidRPr="00252751">
          <w:rPr>
            <w:rFonts w:ascii="Times New Roman" w:hAnsi="Times New Roman"/>
          </w:rPr>
          <w:fldChar w:fldCharType="begin"/>
        </w:r>
        <w:r w:rsidRPr="00252751">
          <w:rPr>
            <w:rFonts w:ascii="Times New Roman" w:hAnsi="Times New Roman"/>
          </w:rPr>
          <w:instrText>PAGE   \* MERGEFORMAT</w:instrText>
        </w:r>
        <w:r w:rsidRPr="00252751">
          <w:rPr>
            <w:rFonts w:ascii="Times New Roman" w:hAnsi="Times New Roman"/>
          </w:rPr>
          <w:fldChar w:fldCharType="separate"/>
        </w:r>
        <w:r w:rsidR="00F149BD" w:rsidRPr="00F149BD">
          <w:rPr>
            <w:rFonts w:ascii="Times New Roman" w:hAnsi="Times New Roman"/>
            <w:noProof/>
            <w:lang w:val="pt-BR"/>
          </w:rPr>
          <w:t>9</w:t>
        </w:r>
        <w:r w:rsidRPr="00252751">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E95" w:rsidRDefault="00AD1E95" w:rsidP="00DC3105">
      <w:pPr>
        <w:spacing w:after="0" w:line="240" w:lineRule="auto"/>
      </w:pPr>
      <w:r>
        <w:separator/>
      </w:r>
    </w:p>
  </w:footnote>
  <w:footnote w:type="continuationSeparator" w:id="0">
    <w:p w:rsidR="00AD1E95" w:rsidRDefault="00AD1E95" w:rsidP="00DC3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204488"/>
      <w:docPartObj>
        <w:docPartGallery w:val="Page Numbers (Top of Page)"/>
        <w:docPartUnique/>
      </w:docPartObj>
    </w:sdtPr>
    <w:sdtEndPr/>
    <w:sdtContent>
      <w:p w:rsidR="00F12F02" w:rsidRDefault="00AD1E95">
        <w:pPr>
          <w:pStyle w:val="Cabealho"/>
          <w:jc w:val="right"/>
        </w:pPr>
      </w:p>
    </w:sdtContent>
  </w:sdt>
  <w:p w:rsidR="00F12F02" w:rsidRDefault="00F12F0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8A5BA5"/>
    <w:multiLevelType w:val="hybridMultilevel"/>
    <w:tmpl w:val="34A875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DF7"/>
    <w:rsid w:val="00036A25"/>
    <w:rsid w:val="000630E8"/>
    <w:rsid w:val="0007095E"/>
    <w:rsid w:val="000B488D"/>
    <w:rsid w:val="00111E4B"/>
    <w:rsid w:val="00117A94"/>
    <w:rsid w:val="001349CA"/>
    <w:rsid w:val="00142908"/>
    <w:rsid w:val="0019202F"/>
    <w:rsid w:val="001C0E7D"/>
    <w:rsid w:val="001D48B3"/>
    <w:rsid w:val="00215E84"/>
    <w:rsid w:val="0021773B"/>
    <w:rsid w:val="00242DA2"/>
    <w:rsid w:val="0024369A"/>
    <w:rsid w:val="002517A4"/>
    <w:rsid w:val="00252751"/>
    <w:rsid w:val="00271145"/>
    <w:rsid w:val="002B40FC"/>
    <w:rsid w:val="002C21C4"/>
    <w:rsid w:val="002D2835"/>
    <w:rsid w:val="0038555F"/>
    <w:rsid w:val="003E3E2A"/>
    <w:rsid w:val="003F6D76"/>
    <w:rsid w:val="00430444"/>
    <w:rsid w:val="00460133"/>
    <w:rsid w:val="00470E66"/>
    <w:rsid w:val="0049111F"/>
    <w:rsid w:val="0049528F"/>
    <w:rsid w:val="004B0AA0"/>
    <w:rsid w:val="004B4E66"/>
    <w:rsid w:val="00505CCE"/>
    <w:rsid w:val="005479E6"/>
    <w:rsid w:val="00553746"/>
    <w:rsid w:val="00564FF9"/>
    <w:rsid w:val="00592405"/>
    <w:rsid w:val="00594ECE"/>
    <w:rsid w:val="005E3B0A"/>
    <w:rsid w:val="006108DA"/>
    <w:rsid w:val="006240EE"/>
    <w:rsid w:val="006466AB"/>
    <w:rsid w:val="00653AB9"/>
    <w:rsid w:val="006867C5"/>
    <w:rsid w:val="00716DF7"/>
    <w:rsid w:val="007221DA"/>
    <w:rsid w:val="0078518C"/>
    <w:rsid w:val="00785CB1"/>
    <w:rsid w:val="007A6449"/>
    <w:rsid w:val="00800888"/>
    <w:rsid w:val="00806C84"/>
    <w:rsid w:val="00810ECF"/>
    <w:rsid w:val="008329EC"/>
    <w:rsid w:val="00857659"/>
    <w:rsid w:val="00860C3E"/>
    <w:rsid w:val="00863862"/>
    <w:rsid w:val="00897433"/>
    <w:rsid w:val="008D2806"/>
    <w:rsid w:val="008D58E5"/>
    <w:rsid w:val="008E26FB"/>
    <w:rsid w:val="009511C4"/>
    <w:rsid w:val="00A24DB2"/>
    <w:rsid w:val="00A305F5"/>
    <w:rsid w:val="00A349C7"/>
    <w:rsid w:val="00A413D5"/>
    <w:rsid w:val="00A715B4"/>
    <w:rsid w:val="00A87189"/>
    <w:rsid w:val="00AA3C33"/>
    <w:rsid w:val="00AB1F5D"/>
    <w:rsid w:val="00AB6D33"/>
    <w:rsid w:val="00AD1E95"/>
    <w:rsid w:val="00B35E90"/>
    <w:rsid w:val="00B3624E"/>
    <w:rsid w:val="00B973E4"/>
    <w:rsid w:val="00BA5CA5"/>
    <w:rsid w:val="00BC6C48"/>
    <w:rsid w:val="00BE57F9"/>
    <w:rsid w:val="00C326B3"/>
    <w:rsid w:val="00C34B8D"/>
    <w:rsid w:val="00C5330C"/>
    <w:rsid w:val="00C708E2"/>
    <w:rsid w:val="00C812A1"/>
    <w:rsid w:val="00C93E1C"/>
    <w:rsid w:val="00CB2D28"/>
    <w:rsid w:val="00D07692"/>
    <w:rsid w:val="00D57AEA"/>
    <w:rsid w:val="00D6414F"/>
    <w:rsid w:val="00D821F2"/>
    <w:rsid w:val="00D852FF"/>
    <w:rsid w:val="00DC3105"/>
    <w:rsid w:val="00DD0F2F"/>
    <w:rsid w:val="00DD6542"/>
    <w:rsid w:val="00E56593"/>
    <w:rsid w:val="00EA338A"/>
    <w:rsid w:val="00ED0599"/>
    <w:rsid w:val="00F119B0"/>
    <w:rsid w:val="00F12F02"/>
    <w:rsid w:val="00F149BD"/>
    <w:rsid w:val="00FA7821"/>
    <w:rsid w:val="00FD2A74"/>
    <w:rsid w:val="00FD3645"/>
    <w:rsid w:val="00FF671D"/>
    <w:rsid w:val="00FF72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DF4E96C-E710-4734-B417-52546AE2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659"/>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857659"/>
    <w:pPr>
      <w:tabs>
        <w:tab w:val="center" w:pos="4252"/>
        <w:tab w:val="right" w:pos="8504"/>
      </w:tabs>
    </w:pPr>
    <w:rPr>
      <w:lang w:val="x-none"/>
    </w:rPr>
  </w:style>
  <w:style w:type="character" w:customStyle="1" w:styleId="RodapChar">
    <w:name w:val="Rodapé Char"/>
    <w:basedOn w:val="Fontepargpadro"/>
    <w:link w:val="Rodap"/>
    <w:uiPriority w:val="99"/>
    <w:rsid w:val="00857659"/>
    <w:rPr>
      <w:rFonts w:ascii="Calibri" w:eastAsia="Calibri" w:hAnsi="Calibri" w:cs="Times New Roman"/>
      <w:lang w:val="x-none"/>
    </w:rPr>
  </w:style>
  <w:style w:type="character" w:styleId="Hyperlink">
    <w:name w:val="Hyperlink"/>
    <w:basedOn w:val="Fontepargpadro"/>
    <w:uiPriority w:val="99"/>
    <w:unhideWhenUsed/>
    <w:rsid w:val="00DC3105"/>
    <w:rPr>
      <w:color w:val="0563C1" w:themeColor="hyperlink"/>
      <w:u w:val="single"/>
    </w:rPr>
  </w:style>
  <w:style w:type="paragraph" w:styleId="Textodenotaderodap">
    <w:name w:val="footnote text"/>
    <w:basedOn w:val="Normal"/>
    <w:link w:val="TextodenotaderodapChar"/>
    <w:uiPriority w:val="99"/>
    <w:semiHidden/>
    <w:unhideWhenUsed/>
    <w:rsid w:val="00DC310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C3105"/>
    <w:rPr>
      <w:rFonts w:ascii="Calibri" w:eastAsia="Calibri" w:hAnsi="Calibri" w:cs="Times New Roman"/>
      <w:sz w:val="20"/>
      <w:szCs w:val="20"/>
    </w:rPr>
  </w:style>
  <w:style w:type="character" w:styleId="Refdenotaderodap">
    <w:name w:val="footnote reference"/>
    <w:basedOn w:val="Fontepargpadro"/>
    <w:uiPriority w:val="99"/>
    <w:semiHidden/>
    <w:unhideWhenUsed/>
    <w:rsid w:val="00DC3105"/>
    <w:rPr>
      <w:vertAlign w:val="superscript"/>
    </w:rPr>
  </w:style>
  <w:style w:type="paragraph" w:styleId="Textodenotadefim">
    <w:name w:val="endnote text"/>
    <w:basedOn w:val="Normal"/>
    <w:link w:val="TextodenotadefimChar"/>
    <w:uiPriority w:val="99"/>
    <w:semiHidden/>
    <w:unhideWhenUsed/>
    <w:rsid w:val="00DC310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C3105"/>
    <w:rPr>
      <w:rFonts w:ascii="Calibri" w:eastAsia="Calibri" w:hAnsi="Calibri" w:cs="Times New Roman"/>
      <w:sz w:val="20"/>
      <w:szCs w:val="20"/>
    </w:rPr>
  </w:style>
  <w:style w:type="character" w:styleId="Refdenotadefim">
    <w:name w:val="endnote reference"/>
    <w:basedOn w:val="Fontepargpadro"/>
    <w:uiPriority w:val="99"/>
    <w:semiHidden/>
    <w:unhideWhenUsed/>
    <w:rsid w:val="00DC3105"/>
    <w:rPr>
      <w:vertAlign w:val="superscript"/>
    </w:rPr>
  </w:style>
  <w:style w:type="paragraph" w:styleId="Cabealho">
    <w:name w:val="header"/>
    <w:basedOn w:val="Normal"/>
    <w:link w:val="CabealhoChar"/>
    <w:uiPriority w:val="99"/>
    <w:unhideWhenUsed/>
    <w:rsid w:val="004B4E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4E66"/>
    <w:rPr>
      <w:rFonts w:ascii="Calibri" w:eastAsia="Calibri" w:hAnsi="Calibri" w:cs="Times New Roman"/>
    </w:rPr>
  </w:style>
  <w:style w:type="character" w:styleId="Nmerodelinha">
    <w:name w:val="line number"/>
    <w:basedOn w:val="Fontepargpadro"/>
    <w:uiPriority w:val="99"/>
    <w:semiHidden/>
    <w:unhideWhenUsed/>
    <w:rsid w:val="005E3B0A"/>
  </w:style>
  <w:style w:type="character" w:styleId="TextodoEspaoReservado">
    <w:name w:val="Placeholder Text"/>
    <w:basedOn w:val="Fontepargpadro"/>
    <w:uiPriority w:val="99"/>
    <w:semiHidden/>
    <w:rsid w:val="004952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5.png"/><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header" Target="header1.xml"/><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E468C-873C-4167-86F5-2BD6E57E2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4097</Words>
  <Characters>22129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Máira Beatriz Teixeira da Costa</dc:creator>
  <cp:keywords/>
  <dc:description/>
  <cp:lastModifiedBy>Máira Beatriz Teixeira da Costa</cp:lastModifiedBy>
  <cp:revision>15</cp:revision>
  <cp:lastPrinted>2016-09-19T03:09:00Z</cp:lastPrinted>
  <dcterms:created xsi:type="dcterms:W3CDTF">2016-09-19T03:09:00Z</dcterms:created>
  <dcterms:modified xsi:type="dcterms:W3CDTF">2016-09-20T01:41:00Z</dcterms:modified>
</cp:coreProperties>
</file>