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3" w:rsidRPr="00384939" w:rsidRDefault="00237733" w:rsidP="0023773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4939">
        <w:rPr>
          <w:rFonts w:ascii="Arial" w:hAnsi="Arial" w:cs="Arial"/>
          <w:sz w:val="20"/>
          <w:szCs w:val="20"/>
        </w:rPr>
        <w:t>UM OLHAR SOBRE O PREFÁCIO DE UMA GÊNESE DOS DISCURSOS</w:t>
      </w:r>
    </w:p>
    <w:p w:rsidR="00237733" w:rsidRPr="008F513E" w:rsidRDefault="00237733" w:rsidP="0023773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37733" w:rsidRPr="008F513E" w:rsidRDefault="00237733" w:rsidP="0023773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F513E">
        <w:rPr>
          <w:rFonts w:ascii="Arial" w:hAnsi="Arial" w:cs="Arial"/>
          <w:sz w:val="22"/>
          <w:szCs w:val="22"/>
        </w:rPr>
        <w:t>Fernanda Fernandes</w:t>
      </w:r>
      <w:r>
        <w:rPr>
          <w:rFonts w:ascii="Arial" w:hAnsi="Arial" w:cs="Arial"/>
          <w:sz w:val="22"/>
          <w:szCs w:val="22"/>
        </w:rPr>
        <w:t xml:space="preserve"> Pimenta de A. Lima</w:t>
      </w:r>
    </w:p>
    <w:p w:rsidR="00237733" w:rsidRPr="008F513E" w:rsidRDefault="00237733" w:rsidP="0023773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37733" w:rsidRDefault="00237733" w:rsidP="0023773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8F513E">
        <w:rPr>
          <w:rFonts w:ascii="Arial" w:hAnsi="Arial" w:cs="Arial"/>
          <w:sz w:val="20"/>
          <w:szCs w:val="20"/>
        </w:rPr>
        <w:t xml:space="preserve">Dominique </w:t>
      </w:r>
      <w:proofErr w:type="spellStart"/>
      <w:r w:rsidRPr="008F513E">
        <w:rPr>
          <w:rFonts w:ascii="Arial" w:hAnsi="Arial" w:cs="Arial"/>
          <w:sz w:val="20"/>
          <w:szCs w:val="20"/>
        </w:rPr>
        <w:t>Maingueneau</w:t>
      </w:r>
      <w:proofErr w:type="spellEnd"/>
      <w:r w:rsidRPr="008F513E">
        <w:rPr>
          <w:rFonts w:ascii="Arial" w:hAnsi="Arial" w:cs="Arial"/>
          <w:sz w:val="20"/>
          <w:szCs w:val="20"/>
        </w:rPr>
        <w:t xml:space="preserve"> (2005) inicia o prefácio de </w:t>
      </w:r>
      <w:r w:rsidRPr="008F513E">
        <w:rPr>
          <w:rFonts w:ascii="Arial" w:hAnsi="Arial" w:cs="Arial"/>
          <w:i/>
          <w:sz w:val="20"/>
          <w:szCs w:val="20"/>
        </w:rPr>
        <w:t>Gênese dos Discursos</w:t>
      </w:r>
      <w:r>
        <w:rPr>
          <w:rFonts w:ascii="Arial" w:hAnsi="Arial" w:cs="Arial"/>
          <w:sz w:val="20"/>
          <w:szCs w:val="20"/>
        </w:rPr>
        <w:t xml:space="preserve"> </w:t>
      </w:r>
      <w:r w:rsidRPr="008F513E">
        <w:rPr>
          <w:rFonts w:ascii="Arial" w:hAnsi="Arial" w:cs="Arial"/>
          <w:sz w:val="20"/>
          <w:szCs w:val="20"/>
        </w:rPr>
        <w:t xml:space="preserve">elogiando a tradução da obra e ressaltando, com isso, a acessibilidade que esta permitiu ao público universitário brasileiro. Como resultado dos estudos que realizou na década de 1970 e de sua tese de doutorado que tratou de “uma semântica dos discursos devotos do século XVII” emerge </w:t>
      </w:r>
      <w:r w:rsidRPr="008F513E">
        <w:rPr>
          <w:rFonts w:ascii="Arial" w:hAnsi="Arial" w:cs="Arial"/>
          <w:i/>
          <w:sz w:val="20"/>
          <w:szCs w:val="20"/>
        </w:rPr>
        <w:t>Gênese dos Discursos</w:t>
      </w:r>
      <w:r w:rsidRPr="008F513E">
        <w:rPr>
          <w:rFonts w:ascii="Arial" w:hAnsi="Arial" w:cs="Arial"/>
          <w:sz w:val="20"/>
          <w:szCs w:val="20"/>
        </w:rPr>
        <w:t>, obra que demarca, de certo modo, seu lugar de analista do discurso, por se voltar teoricamente mais à “preocupação de dar conta dos funcionamentos discursivos” do que propriamente a uma perspectiva que ele chama de “</w:t>
      </w:r>
      <w:proofErr w:type="spellStart"/>
      <w:r w:rsidRPr="008F513E">
        <w:rPr>
          <w:rFonts w:ascii="Arial" w:hAnsi="Arial" w:cs="Arial"/>
          <w:sz w:val="20"/>
          <w:szCs w:val="20"/>
        </w:rPr>
        <w:t>parafilosófica</w:t>
      </w:r>
      <w:proofErr w:type="spellEnd"/>
      <w:r w:rsidRPr="008F513E">
        <w:rPr>
          <w:rFonts w:ascii="Arial" w:hAnsi="Arial" w:cs="Arial"/>
          <w:sz w:val="20"/>
          <w:szCs w:val="20"/>
        </w:rPr>
        <w:t xml:space="preserve">” de análise. Outrossim, </w:t>
      </w:r>
      <w:r w:rsidRPr="008F513E">
        <w:rPr>
          <w:rFonts w:ascii="Arial" w:hAnsi="Arial" w:cs="Arial"/>
          <w:i/>
          <w:sz w:val="20"/>
          <w:szCs w:val="20"/>
        </w:rPr>
        <w:t>Gênese dos Discursos</w:t>
      </w:r>
      <w:r w:rsidRPr="008F513E">
        <w:rPr>
          <w:rFonts w:ascii="Arial" w:hAnsi="Arial" w:cs="Arial"/>
          <w:sz w:val="20"/>
          <w:szCs w:val="20"/>
        </w:rPr>
        <w:t xml:space="preserve"> não é apenas uma “empreitada teórica e metodológica”, como assinala o autor, mas uma profícua reflexão sobre o sinuoso terreno do discurso. </w:t>
      </w:r>
      <w:proofErr w:type="spellStart"/>
      <w:r w:rsidRPr="008F513E">
        <w:rPr>
          <w:rFonts w:ascii="Arial" w:hAnsi="Arial" w:cs="Arial"/>
          <w:sz w:val="20"/>
          <w:szCs w:val="20"/>
        </w:rPr>
        <w:t>Maingueneau</w:t>
      </w:r>
      <w:proofErr w:type="spellEnd"/>
      <w:r w:rsidRPr="008F513E">
        <w:rPr>
          <w:rFonts w:ascii="Arial" w:hAnsi="Arial" w:cs="Arial"/>
          <w:sz w:val="20"/>
          <w:szCs w:val="20"/>
        </w:rPr>
        <w:t xml:space="preserve"> ressalta a dificuldade de renovação da Análise do Discurso, no início dos anos 1980 na França. Os estudos do texto e de linguagem, permeados pela crise em que se encontrava a Escola Francesa de AD, marcavam-se, respectivamente, pela semiótica e pela gramática gerativa. A renovação desse cenário veio na segunda metade da década de 80, tempo de “aberturas” teóricas e de diferentes abordagens sobre o discurso. No esteio dessa conjuntura, e propondo novos conceitos, entra </w:t>
      </w:r>
      <w:smartTag w:uri="urn:schemas-microsoft-com:office:smarttags" w:element="PersonName">
        <w:smartTagPr>
          <w:attr w:name="ProductID" w:val="em cena Gênese"/>
        </w:smartTagPr>
        <w:r w:rsidRPr="008F513E">
          <w:rPr>
            <w:rFonts w:ascii="Arial" w:hAnsi="Arial" w:cs="Arial"/>
            <w:sz w:val="20"/>
            <w:szCs w:val="20"/>
          </w:rPr>
          <w:t xml:space="preserve">em cena </w:t>
        </w:r>
        <w:r w:rsidRPr="008F513E">
          <w:rPr>
            <w:rFonts w:ascii="Arial" w:hAnsi="Arial" w:cs="Arial"/>
            <w:i/>
            <w:sz w:val="20"/>
            <w:szCs w:val="20"/>
          </w:rPr>
          <w:t>Gênese</w:t>
        </w:r>
      </w:smartTag>
      <w:r w:rsidRPr="008F513E">
        <w:rPr>
          <w:rFonts w:ascii="Arial" w:hAnsi="Arial" w:cs="Arial"/>
          <w:i/>
          <w:sz w:val="20"/>
          <w:szCs w:val="20"/>
        </w:rPr>
        <w:t xml:space="preserve"> dos Discursos</w:t>
      </w:r>
      <w:r w:rsidRPr="008F513E">
        <w:rPr>
          <w:rFonts w:ascii="Arial" w:hAnsi="Arial" w:cs="Arial"/>
          <w:sz w:val="20"/>
          <w:szCs w:val="20"/>
        </w:rPr>
        <w:t xml:space="preserve">. A proposta inova pelo fato de o autor ir além nas reflexões sobre alguns pontos, quais sejam: a noção de </w:t>
      </w:r>
      <w:r w:rsidRPr="008F513E">
        <w:rPr>
          <w:rFonts w:ascii="Arial" w:hAnsi="Arial" w:cs="Arial"/>
          <w:i/>
          <w:sz w:val="20"/>
          <w:szCs w:val="20"/>
        </w:rPr>
        <w:t>formação discursiva</w:t>
      </w:r>
      <w:r w:rsidRPr="008F513E">
        <w:rPr>
          <w:rFonts w:ascii="Arial" w:hAnsi="Arial" w:cs="Arial"/>
          <w:sz w:val="20"/>
          <w:szCs w:val="20"/>
        </w:rPr>
        <w:t xml:space="preserve">, a “ênfase na homogeneidade das competências discursivas”, entre outros pontos que considera discutíveis. Algumas noções, como a de </w:t>
      </w:r>
      <w:r w:rsidRPr="008F513E">
        <w:rPr>
          <w:rFonts w:ascii="Arial" w:hAnsi="Arial" w:cs="Arial"/>
          <w:i/>
          <w:sz w:val="20"/>
          <w:szCs w:val="20"/>
        </w:rPr>
        <w:t>competência discursiva</w:t>
      </w:r>
      <w:r w:rsidRPr="008F513E">
        <w:rPr>
          <w:rFonts w:ascii="Arial" w:hAnsi="Arial" w:cs="Arial"/>
          <w:sz w:val="20"/>
          <w:szCs w:val="20"/>
        </w:rPr>
        <w:t xml:space="preserve">, por exemplo, para um leitor principiante, podem constituir um ponto “obscuro” na teoria proposta pelo autor. É uma impressão que pode ser afastada, ao se observar que as concepções que ele apresenta são bem trabalhadas nos capítulos do livro. Essas noções traduzem e justificam a “empreitada teórica” que </w:t>
      </w:r>
      <w:proofErr w:type="spellStart"/>
      <w:r w:rsidRPr="008F513E">
        <w:rPr>
          <w:rFonts w:ascii="Arial" w:hAnsi="Arial" w:cs="Arial"/>
          <w:sz w:val="20"/>
          <w:szCs w:val="20"/>
        </w:rPr>
        <w:t>Maingueneau</w:t>
      </w:r>
      <w:proofErr w:type="spellEnd"/>
      <w:r w:rsidRPr="008F513E">
        <w:rPr>
          <w:rFonts w:ascii="Arial" w:hAnsi="Arial" w:cs="Arial"/>
          <w:sz w:val="20"/>
          <w:szCs w:val="20"/>
        </w:rPr>
        <w:t xml:space="preserve"> apresenta para a renovação do olhar sobre a AD francesa. O autor reconhece certa dificuldade quanto ao tratamento dado à especificidade dos </w:t>
      </w:r>
      <w:r w:rsidRPr="008F513E">
        <w:rPr>
          <w:rFonts w:ascii="Arial" w:hAnsi="Arial" w:cs="Arial"/>
          <w:i/>
          <w:sz w:val="20"/>
          <w:szCs w:val="20"/>
        </w:rPr>
        <w:t>corpora</w:t>
      </w:r>
      <w:r w:rsidRPr="008F513E">
        <w:rPr>
          <w:rFonts w:ascii="Arial" w:hAnsi="Arial" w:cs="Arial"/>
          <w:sz w:val="20"/>
          <w:szCs w:val="20"/>
        </w:rPr>
        <w:t xml:space="preserve"> estudados, o que é atenuado, em seguida, pela problemática que desenvolve sobre os “discursos constituintes”. Com base no prefácio de</w:t>
      </w:r>
      <w:r w:rsidRPr="008F513E">
        <w:rPr>
          <w:rFonts w:ascii="Arial" w:hAnsi="Arial" w:cs="Arial"/>
          <w:i/>
          <w:sz w:val="20"/>
          <w:szCs w:val="20"/>
        </w:rPr>
        <w:t xml:space="preserve"> Gênese dos Discursos</w:t>
      </w:r>
      <w:r w:rsidRPr="008F513E">
        <w:rPr>
          <w:rFonts w:ascii="Arial" w:hAnsi="Arial" w:cs="Arial"/>
          <w:sz w:val="20"/>
          <w:szCs w:val="20"/>
        </w:rPr>
        <w:t>, pode-se reconhecer que o livro</w:t>
      </w:r>
      <w:r w:rsidRPr="008F513E">
        <w:rPr>
          <w:rFonts w:ascii="Arial" w:hAnsi="Arial" w:cs="Arial"/>
          <w:i/>
          <w:sz w:val="20"/>
          <w:szCs w:val="20"/>
        </w:rPr>
        <w:t xml:space="preserve"> </w:t>
      </w:r>
      <w:r w:rsidRPr="008F513E">
        <w:rPr>
          <w:rFonts w:ascii="Arial" w:hAnsi="Arial" w:cs="Arial"/>
          <w:sz w:val="20"/>
          <w:szCs w:val="20"/>
        </w:rPr>
        <w:t>inova pelas noções que foram por ele introduzidas e se tornaram produtivas, como as de “comunidades discursivas”, de “</w:t>
      </w:r>
      <w:proofErr w:type="spellStart"/>
      <w:r w:rsidRPr="008F513E">
        <w:rPr>
          <w:rFonts w:ascii="Arial" w:hAnsi="Arial" w:cs="Arial"/>
          <w:sz w:val="20"/>
          <w:szCs w:val="20"/>
        </w:rPr>
        <w:t>ethos</w:t>
      </w:r>
      <w:proofErr w:type="spellEnd"/>
      <w:r w:rsidRPr="008F513E">
        <w:rPr>
          <w:rFonts w:ascii="Arial" w:hAnsi="Arial" w:cs="Arial"/>
          <w:sz w:val="20"/>
          <w:szCs w:val="20"/>
        </w:rPr>
        <w:t xml:space="preserve">”, de “práticas discursivas”, por exemplo. Esta última noção, cuja definição produzida por Michel Foucault em </w:t>
      </w:r>
      <w:r w:rsidRPr="008F513E">
        <w:rPr>
          <w:rFonts w:ascii="Arial" w:hAnsi="Arial" w:cs="Arial"/>
          <w:i/>
          <w:sz w:val="20"/>
          <w:szCs w:val="20"/>
        </w:rPr>
        <w:t>A arqueologia do Saber</w:t>
      </w:r>
      <w:r w:rsidRPr="008F513E">
        <w:rPr>
          <w:rFonts w:ascii="Arial" w:hAnsi="Arial" w:cs="Arial"/>
          <w:sz w:val="20"/>
          <w:szCs w:val="20"/>
        </w:rPr>
        <w:t xml:space="preserve"> é retomada por </w:t>
      </w:r>
      <w:proofErr w:type="spellStart"/>
      <w:r w:rsidRPr="008F513E">
        <w:rPr>
          <w:rFonts w:ascii="Arial" w:hAnsi="Arial" w:cs="Arial"/>
          <w:sz w:val="20"/>
          <w:szCs w:val="20"/>
        </w:rPr>
        <w:t>Maingueneau</w:t>
      </w:r>
      <w:proofErr w:type="spellEnd"/>
      <w:r w:rsidRPr="008F513E">
        <w:rPr>
          <w:rFonts w:ascii="Arial" w:hAnsi="Arial" w:cs="Arial"/>
          <w:sz w:val="20"/>
          <w:szCs w:val="20"/>
        </w:rPr>
        <w:t xml:space="preserve">, na Introdução do seu livro, conceituando a noção de Discurso. O autor busca também discutir a noção de “competência discursiva” que, pela complexidade com que se apresenta, deixa entender inicialmente que é um tipo de </w:t>
      </w:r>
      <w:r w:rsidRPr="008F513E">
        <w:rPr>
          <w:rFonts w:ascii="Arial" w:hAnsi="Arial" w:cs="Arial"/>
          <w:i/>
          <w:sz w:val="20"/>
          <w:szCs w:val="20"/>
        </w:rPr>
        <w:t>modus operandi</w:t>
      </w:r>
      <w:r w:rsidRPr="008F513E">
        <w:rPr>
          <w:rFonts w:ascii="Arial" w:hAnsi="Arial" w:cs="Arial"/>
          <w:sz w:val="20"/>
          <w:szCs w:val="20"/>
        </w:rPr>
        <w:t xml:space="preserve"> que os sujeitos utilizam no tratamento dos enunciados produzidos e interpretados em atividades discursivas. Ele ressalta também o fato de o discurso religioso ainda ser um tanto “marginal” à análise do discurso, um contraponto, quando se entende que o fato religioso está particularmente presente no mundo contemporâneo. Outros pontos da insatisfação do autor são citados principalmente no que tange à sua tentativa em trabalhar outros domínios semióticos, que também não se tornaram produtivos e não despertaram o interesse de outras </w:t>
      </w:r>
      <w:r w:rsidRPr="008F513E">
        <w:rPr>
          <w:rFonts w:ascii="Arial" w:hAnsi="Arial" w:cs="Arial"/>
          <w:sz w:val="20"/>
          <w:szCs w:val="20"/>
        </w:rPr>
        <w:lastRenderedPageBreak/>
        <w:t xml:space="preserve">disciplinas que não se preocupam com as “problemáticas da análise do discurso”. Por fim, pode-se voltar a atenção ao emprego da palavra “modelizar”. Na base dessa proposta teórica, essa palavra resume um pouco o que os estudiosos em análise do discurso verão nesse livro. O prefácio enuncia uma teoria que produz resultados, entre pontos que asseguram um novo olhar sobre as relações que permeiam os discursos e suas práticas. Não é apenas um olhar que se lança sobre a interação entre formações discursivas, mas também é uma abordagem de conceitos inovadores como o de competência discursiva e semântica global que, nesse plano teórico, estão na base do “primado do interdiscurso sobre o discurso”. Pelo prefácio de sua obra, pensa-se que </w:t>
      </w:r>
      <w:proofErr w:type="spellStart"/>
      <w:r w:rsidRPr="008F513E">
        <w:rPr>
          <w:rFonts w:ascii="Arial" w:hAnsi="Arial" w:cs="Arial"/>
          <w:sz w:val="20"/>
          <w:szCs w:val="20"/>
        </w:rPr>
        <w:t>Maingueneau</w:t>
      </w:r>
      <w:proofErr w:type="spellEnd"/>
      <w:r w:rsidRPr="008F513E">
        <w:rPr>
          <w:rFonts w:ascii="Arial" w:hAnsi="Arial" w:cs="Arial"/>
          <w:sz w:val="20"/>
          <w:szCs w:val="20"/>
        </w:rPr>
        <w:t xml:space="preserve"> enxergou além da margem e lançou ao seu leitor um desafio, o de “invadir”, nem que seja de modo sutil, um território que busca ser inovado, para não perder sua consistência. </w:t>
      </w: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  <w:bookmarkStart w:id="0" w:name="_GoBack"/>
      <w:bookmarkEnd w:id="0"/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Pr="00384939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tabs>
          <w:tab w:val="left" w:pos="5205"/>
        </w:tabs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tabs>
          <w:tab w:val="left" w:pos="5205"/>
        </w:tabs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tabs>
          <w:tab w:val="left" w:pos="5205"/>
        </w:tabs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tabs>
          <w:tab w:val="left" w:pos="5205"/>
        </w:tabs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tabs>
          <w:tab w:val="left" w:pos="5205"/>
        </w:tabs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tabs>
          <w:tab w:val="left" w:pos="5205"/>
        </w:tabs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tabs>
          <w:tab w:val="left" w:pos="5205"/>
        </w:tabs>
        <w:rPr>
          <w:rFonts w:ascii="Arial" w:hAnsi="Arial" w:cs="Arial"/>
          <w:sz w:val="20"/>
          <w:szCs w:val="20"/>
          <w:highlight w:val="yellow"/>
        </w:rPr>
      </w:pPr>
    </w:p>
    <w:p w:rsidR="00237733" w:rsidRDefault="00237733" w:rsidP="00237733">
      <w:pPr>
        <w:tabs>
          <w:tab w:val="left" w:pos="5205"/>
        </w:tabs>
        <w:rPr>
          <w:rFonts w:ascii="Arial" w:hAnsi="Arial" w:cs="Arial"/>
          <w:sz w:val="20"/>
          <w:szCs w:val="20"/>
          <w:highlight w:val="yellow"/>
        </w:rPr>
      </w:pPr>
    </w:p>
    <w:p w:rsidR="00F572EA" w:rsidRDefault="00F572EA"/>
    <w:sectPr w:rsidR="00F572EA" w:rsidSect="00A9782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89" w:rsidRDefault="00A93189" w:rsidP="00237733">
      <w:r>
        <w:separator/>
      </w:r>
    </w:p>
  </w:endnote>
  <w:endnote w:type="continuationSeparator" w:id="0">
    <w:p w:rsidR="00A93189" w:rsidRDefault="00A93189" w:rsidP="002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33" w:rsidRDefault="00237733" w:rsidP="00237733"/>
  <w:p w:rsidR="00237733" w:rsidRPr="00237733" w:rsidRDefault="00237733" w:rsidP="00237733">
    <w:pPr>
      <w:tabs>
        <w:tab w:val="center" w:pos="4252"/>
        <w:tab w:val="right" w:pos="8504"/>
      </w:tabs>
      <w:suppressAutoHyphens/>
      <w:jc w:val="center"/>
      <w:rPr>
        <w:rFonts w:ascii="Arial" w:hAnsi="Arial"/>
        <w:sz w:val="18"/>
        <w:szCs w:val="18"/>
        <w:lang w:eastAsia="ar-SA"/>
      </w:rPr>
    </w:pPr>
    <w:r w:rsidRPr="008F513E">
      <w:rPr>
        <w:rFonts w:ascii="Arial" w:hAnsi="Arial"/>
        <w:color w:val="0F243E"/>
        <w:sz w:val="18"/>
        <w:szCs w:val="18"/>
        <w:lang w:eastAsia="ar-SA"/>
      </w:rPr>
      <w:t>ISSN: 1984-65</w:t>
    </w:r>
    <w:r w:rsidR="00A97828">
      <w:rPr>
        <w:rFonts w:ascii="Arial" w:hAnsi="Arial"/>
        <w:color w:val="0F243E"/>
        <w:sz w:val="18"/>
        <w:szCs w:val="18"/>
        <w:lang w:eastAsia="ar-SA"/>
      </w:rPr>
      <w:t>76 – v. 6 n.2 Outubro 2014 p. 96-97</w:t>
    </w:r>
    <w:r w:rsidRPr="008F513E">
      <w:rPr>
        <w:rFonts w:ascii="Arial" w:hAnsi="Arial"/>
        <w:color w:val="0F243E"/>
        <w:sz w:val="18"/>
        <w:szCs w:val="18"/>
        <w:lang w:eastAsia="ar-SA"/>
      </w:rPr>
      <w:t xml:space="preserve"> Inhumas/Goiás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89" w:rsidRDefault="00A93189" w:rsidP="00237733">
      <w:r>
        <w:separator/>
      </w:r>
    </w:p>
  </w:footnote>
  <w:footnote w:type="continuationSeparator" w:id="0">
    <w:p w:rsidR="00A93189" w:rsidRDefault="00A93189" w:rsidP="0023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33" w:rsidRPr="000C5B92" w:rsidRDefault="00237733" w:rsidP="00237733">
    <w:pPr>
      <w:tabs>
        <w:tab w:val="center" w:pos="4419"/>
        <w:tab w:val="center" w:pos="4536"/>
        <w:tab w:val="right" w:pos="8838"/>
        <w:tab w:val="right" w:pos="9072"/>
      </w:tabs>
      <w:suppressAutoHyphens/>
      <w:spacing w:before="120" w:after="240"/>
      <w:jc w:val="center"/>
      <w:rPr>
        <w:rFonts w:ascii="Arial" w:hAnsi="Arial"/>
        <w:sz w:val="18"/>
        <w:szCs w:val="18"/>
        <w:lang w:eastAsia="ar-SA"/>
      </w:rPr>
    </w:pPr>
    <w:r w:rsidRPr="000C5B92">
      <w:rPr>
        <w:rFonts w:ascii="Arial" w:hAnsi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2540" r="635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733" w:rsidRPr="008A678C" w:rsidRDefault="00237733" w:rsidP="00237733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8A678C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8A678C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A97828" w:rsidRPr="00A97828">
                            <w:rPr>
                              <w:rFonts w:ascii="Calibri Light" w:hAnsi="Calibri Light"/>
                              <w:noProof/>
                              <w:sz w:val="48"/>
                              <w:szCs w:val="48"/>
                            </w:rPr>
                            <w:t>97</w:t>
                          </w:r>
                          <w:r w:rsidRPr="008A678C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EMiAIAAAYFAAAOAAAAZHJzL2Uyb0RvYy54bWysVF2O0zAQfkfiDpbfu0lK+pNo09VuSxHS&#10;AisWDuDaTmLh2MZ2my6Iy3AV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" o:allowincell="f" stroked="f">
              <v:textbox>
                <w:txbxContent>
                  <w:p w:rsidR="00237733" w:rsidRPr="008A678C" w:rsidRDefault="00237733" w:rsidP="00237733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8A678C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8A678C">
                      <w:rPr>
                        <w:rFonts w:ascii="Calibri" w:hAnsi="Calibri"/>
                      </w:rPr>
                      <w:fldChar w:fldCharType="separate"/>
                    </w:r>
                    <w:r w:rsidR="00A97828" w:rsidRPr="00A97828">
                      <w:rPr>
                        <w:rFonts w:ascii="Calibri Light" w:hAnsi="Calibri Light"/>
                        <w:noProof/>
                        <w:sz w:val="48"/>
                        <w:szCs w:val="48"/>
                      </w:rPr>
                      <w:t>97</w:t>
                    </w:r>
                    <w:r w:rsidRPr="008A678C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C5B92">
      <w:rPr>
        <w:rFonts w:ascii="Arial" w:hAnsi="Arial"/>
        <w:sz w:val="18"/>
        <w:szCs w:val="18"/>
        <w:lang w:eastAsia="ar-SA"/>
      </w:rPr>
      <w:t>REVELLI – REVISTA DE EDUCAÇÃO, LINGUAGEM E LITERATURA</w:t>
    </w:r>
  </w:p>
  <w:p w:rsidR="00237733" w:rsidRDefault="00237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33"/>
    <w:rsid w:val="00003B03"/>
    <w:rsid w:val="00010F2E"/>
    <w:rsid w:val="00055CA3"/>
    <w:rsid w:val="00060C97"/>
    <w:rsid w:val="00072B11"/>
    <w:rsid w:val="00077554"/>
    <w:rsid w:val="00091EAF"/>
    <w:rsid w:val="000C1584"/>
    <w:rsid w:val="000C78F2"/>
    <w:rsid w:val="000D0C95"/>
    <w:rsid w:val="000F234D"/>
    <w:rsid w:val="000F628F"/>
    <w:rsid w:val="001036C2"/>
    <w:rsid w:val="00115FC3"/>
    <w:rsid w:val="001235CB"/>
    <w:rsid w:val="001263BC"/>
    <w:rsid w:val="00137E3D"/>
    <w:rsid w:val="00162870"/>
    <w:rsid w:val="00182292"/>
    <w:rsid w:val="0019659C"/>
    <w:rsid w:val="001A65D6"/>
    <w:rsid w:val="001A7B7C"/>
    <w:rsid w:val="001B673A"/>
    <w:rsid w:val="001F348B"/>
    <w:rsid w:val="001F533E"/>
    <w:rsid w:val="00215608"/>
    <w:rsid w:val="00225376"/>
    <w:rsid w:val="00227E2B"/>
    <w:rsid w:val="00234C1F"/>
    <w:rsid w:val="00237733"/>
    <w:rsid w:val="00244438"/>
    <w:rsid w:val="00267D28"/>
    <w:rsid w:val="002701A2"/>
    <w:rsid w:val="00286C9F"/>
    <w:rsid w:val="00297005"/>
    <w:rsid w:val="002A642B"/>
    <w:rsid w:val="002D2CC0"/>
    <w:rsid w:val="002D61B5"/>
    <w:rsid w:val="002E7F24"/>
    <w:rsid w:val="00325A73"/>
    <w:rsid w:val="00352506"/>
    <w:rsid w:val="00355A21"/>
    <w:rsid w:val="00381311"/>
    <w:rsid w:val="00386BB2"/>
    <w:rsid w:val="003C3399"/>
    <w:rsid w:val="00403382"/>
    <w:rsid w:val="00430BBB"/>
    <w:rsid w:val="00432668"/>
    <w:rsid w:val="00463BE4"/>
    <w:rsid w:val="0046644E"/>
    <w:rsid w:val="00475E07"/>
    <w:rsid w:val="00487202"/>
    <w:rsid w:val="004A600F"/>
    <w:rsid w:val="004B1D51"/>
    <w:rsid w:val="004C3432"/>
    <w:rsid w:val="004F0C00"/>
    <w:rsid w:val="004F64BE"/>
    <w:rsid w:val="00520B73"/>
    <w:rsid w:val="00561079"/>
    <w:rsid w:val="00566606"/>
    <w:rsid w:val="00566B7B"/>
    <w:rsid w:val="005962E5"/>
    <w:rsid w:val="005A0EEE"/>
    <w:rsid w:val="005B792D"/>
    <w:rsid w:val="00613261"/>
    <w:rsid w:val="006445D9"/>
    <w:rsid w:val="00694403"/>
    <w:rsid w:val="00696BB2"/>
    <w:rsid w:val="006A03B3"/>
    <w:rsid w:val="006C2EF0"/>
    <w:rsid w:val="006C799C"/>
    <w:rsid w:val="006D2E19"/>
    <w:rsid w:val="00702249"/>
    <w:rsid w:val="007042FA"/>
    <w:rsid w:val="00711C0B"/>
    <w:rsid w:val="00716547"/>
    <w:rsid w:val="00731161"/>
    <w:rsid w:val="00757F94"/>
    <w:rsid w:val="007661E1"/>
    <w:rsid w:val="00771434"/>
    <w:rsid w:val="007A6AF3"/>
    <w:rsid w:val="007C5639"/>
    <w:rsid w:val="007D6E7B"/>
    <w:rsid w:val="007F2705"/>
    <w:rsid w:val="00815C75"/>
    <w:rsid w:val="00841276"/>
    <w:rsid w:val="0084377D"/>
    <w:rsid w:val="00853ECE"/>
    <w:rsid w:val="00855359"/>
    <w:rsid w:val="00855E5D"/>
    <w:rsid w:val="0085650C"/>
    <w:rsid w:val="00864EA8"/>
    <w:rsid w:val="00866979"/>
    <w:rsid w:val="00886FA8"/>
    <w:rsid w:val="00890B6A"/>
    <w:rsid w:val="00891A3E"/>
    <w:rsid w:val="008A680A"/>
    <w:rsid w:val="008A75FD"/>
    <w:rsid w:val="008C6E8F"/>
    <w:rsid w:val="00926E4F"/>
    <w:rsid w:val="00935D30"/>
    <w:rsid w:val="00941BCE"/>
    <w:rsid w:val="00960143"/>
    <w:rsid w:val="009A78D5"/>
    <w:rsid w:val="009B2EFB"/>
    <w:rsid w:val="009C1522"/>
    <w:rsid w:val="009C5E4C"/>
    <w:rsid w:val="009E25C8"/>
    <w:rsid w:val="00A1462D"/>
    <w:rsid w:val="00A15955"/>
    <w:rsid w:val="00A244E7"/>
    <w:rsid w:val="00A36A5A"/>
    <w:rsid w:val="00A36C6E"/>
    <w:rsid w:val="00A45B4A"/>
    <w:rsid w:val="00A45E80"/>
    <w:rsid w:val="00A642D8"/>
    <w:rsid w:val="00A6722E"/>
    <w:rsid w:val="00A848C0"/>
    <w:rsid w:val="00A855CA"/>
    <w:rsid w:val="00A93189"/>
    <w:rsid w:val="00A97828"/>
    <w:rsid w:val="00AA53F3"/>
    <w:rsid w:val="00AD394F"/>
    <w:rsid w:val="00AE3ED9"/>
    <w:rsid w:val="00B15AA4"/>
    <w:rsid w:val="00B2166A"/>
    <w:rsid w:val="00B26693"/>
    <w:rsid w:val="00B3305B"/>
    <w:rsid w:val="00B5257D"/>
    <w:rsid w:val="00B563F9"/>
    <w:rsid w:val="00B656BB"/>
    <w:rsid w:val="00B701B6"/>
    <w:rsid w:val="00B71043"/>
    <w:rsid w:val="00BA551D"/>
    <w:rsid w:val="00BC7AB4"/>
    <w:rsid w:val="00BF3D46"/>
    <w:rsid w:val="00C003D2"/>
    <w:rsid w:val="00C05FE1"/>
    <w:rsid w:val="00C22A84"/>
    <w:rsid w:val="00C5071C"/>
    <w:rsid w:val="00C85684"/>
    <w:rsid w:val="00C92F5C"/>
    <w:rsid w:val="00CA31E9"/>
    <w:rsid w:val="00CB4528"/>
    <w:rsid w:val="00CD2D4B"/>
    <w:rsid w:val="00CD39BC"/>
    <w:rsid w:val="00CF62E2"/>
    <w:rsid w:val="00D2087B"/>
    <w:rsid w:val="00D33486"/>
    <w:rsid w:val="00D4474B"/>
    <w:rsid w:val="00D54E60"/>
    <w:rsid w:val="00D72D91"/>
    <w:rsid w:val="00D7473E"/>
    <w:rsid w:val="00D8025D"/>
    <w:rsid w:val="00D956D2"/>
    <w:rsid w:val="00DA7589"/>
    <w:rsid w:val="00DC5EA6"/>
    <w:rsid w:val="00DC7D6C"/>
    <w:rsid w:val="00E15103"/>
    <w:rsid w:val="00E159FB"/>
    <w:rsid w:val="00E25F7C"/>
    <w:rsid w:val="00E6301C"/>
    <w:rsid w:val="00E74DFB"/>
    <w:rsid w:val="00E83D25"/>
    <w:rsid w:val="00E85F8D"/>
    <w:rsid w:val="00E96CC8"/>
    <w:rsid w:val="00EA429F"/>
    <w:rsid w:val="00EC277D"/>
    <w:rsid w:val="00EC7472"/>
    <w:rsid w:val="00EE6F82"/>
    <w:rsid w:val="00EE70AC"/>
    <w:rsid w:val="00EF4B71"/>
    <w:rsid w:val="00EF5366"/>
    <w:rsid w:val="00F26336"/>
    <w:rsid w:val="00F26570"/>
    <w:rsid w:val="00F572EA"/>
    <w:rsid w:val="00F574B7"/>
    <w:rsid w:val="00F70334"/>
    <w:rsid w:val="00F807CA"/>
    <w:rsid w:val="00F963F6"/>
    <w:rsid w:val="00FC1635"/>
    <w:rsid w:val="00FC7738"/>
    <w:rsid w:val="00FD3F6A"/>
    <w:rsid w:val="00FE24CD"/>
    <w:rsid w:val="00FE392B"/>
    <w:rsid w:val="00FE7C17"/>
    <w:rsid w:val="00FF29D8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18370-FBE8-45F5-BAC3-999448C5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77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37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77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Diretoria</cp:lastModifiedBy>
  <cp:revision>3</cp:revision>
  <dcterms:created xsi:type="dcterms:W3CDTF">2015-01-16T16:38:00Z</dcterms:created>
  <dcterms:modified xsi:type="dcterms:W3CDTF">2015-01-16T16:54:00Z</dcterms:modified>
</cp:coreProperties>
</file>